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-977900</wp:posOffset>
            </wp:positionV>
            <wp:extent cx="7559040" cy="8668385"/>
            <wp:effectExtent l="0" t="0" r="10160" b="5715"/>
            <wp:wrapNone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7559040" cy="866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菏泽蓝鑫环保科技有限公司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Q:39.04.00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王秋华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Q:39.04.00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服务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合同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---服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务计划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方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案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---服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务实施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----验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收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------交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付</w:t>
            </w:r>
          </w:p>
          <w:p>
            <w:pPr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asciiTheme="minorEastAsia" w:hAnsiTheme="minorEastAsia" w:eastAsiaTheme="min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u w:val="none"/>
              </w:rPr>
              <w:t>水和大气污染防止服务为关键过程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none"/>
                <w:lang w:val="en-US" w:eastAsia="zh-CN"/>
              </w:rPr>
              <w:t>特殊过程：运维服务过程</w:t>
            </w:r>
          </w:p>
          <w:p>
            <w:pPr>
              <w:pStyle w:val="12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none"/>
              </w:rPr>
              <w:t>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none"/>
              </w:rPr>
              <w:t>范标准、工艺规程、工艺流程图、各类作业指导书、运维服务计划、销售合同/订单的要求、服务要求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u w:val="none"/>
                <w:lang w:val="en-US" w:eastAsia="zh-CN"/>
              </w:rPr>
              <w:t>GB 18485-2014生活垃圾焚烧污染控制标准、HJ 75-2017固定污染源烟气(SO2、NOX、颗粒物）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u w:val="none"/>
                <w:lang w:val="en-US" w:eastAsia="zh-CN"/>
              </w:rPr>
              <w:t>排放连续监测技术规范、HJ 355-2019水污染源在线监测系统(CODcr、NH,一N等)运行技术规范、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u w:val="none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u w:val="none"/>
              </w:rPr>
              <w:t>以第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none"/>
              </w:rPr>
              <w:t>三方检测报告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none"/>
              </w:rPr>
              <w:t>依据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none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none"/>
              </w:rPr>
              <w:t>废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none"/>
              </w:rPr>
              <w:t>气污染源自动监测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none"/>
              </w:rPr>
              <w:t>设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none"/>
              </w:rPr>
              <w:t>备比对项目》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none"/>
              </w:rPr>
              <w:t>、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none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none"/>
              </w:rPr>
              <w:t>废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none"/>
              </w:rPr>
              <w:t>水污染源自动监测设备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none"/>
              </w:rPr>
              <w:t>比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none"/>
              </w:rPr>
              <w:t>对》检测报告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u w:val="none"/>
              </w:rPr>
              <w:t>地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none"/>
              </w:rPr>
              <w:t>方排放标准及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none"/>
              </w:rPr>
              <w:t>郓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none"/>
              </w:rPr>
              <w:t>城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none"/>
              </w:rPr>
              <w:t>垃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none"/>
              </w:rPr>
              <w:t>圾焚烧发电厂环评批复要求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  <w:bookmarkStart w:id="3" w:name="_GoBack"/>
      <w:bookmarkEnd w:id="3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45E50D4"/>
    <w:rsid w:val="062A317C"/>
    <w:rsid w:val="07985698"/>
    <w:rsid w:val="0D881334"/>
    <w:rsid w:val="162174D6"/>
    <w:rsid w:val="16F0248C"/>
    <w:rsid w:val="18565634"/>
    <w:rsid w:val="185C5A63"/>
    <w:rsid w:val="1B773EB8"/>
    <w:rsid w:val="1C945205"/>
    <w:rsid w:val="1DEB722D"/>
    <w:rsid w:val="262F613D"/>
    <w:rsid w:val="2A8731AA"/>
    <w:rsid w:val="37C369C1"/>
    <w:rsid w:val="3ED87FC6"/>
    <w:rsid w:val="3FF105D0"/>
    <w:rsid w:val="44E94EC5"/>
    <w:rsid w:val="4970795B"/>
    <w:rsid w:val="4ACE1F3A"/>
    <w:rsid w:val="561108A8"/>
    <w:rsid w:val="57945B73"/>
    <w:rsid w:val="5C05424F"/>
    <w:rsid w:val="6E600A9F"/>
    <w:rsid w:val="70EA3271"/>
    <w:rsid w:val="71F60C62"/>
    <w:rsid w:val="74F93480"/>
    <w:rsid w:val="7EE457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qFormat="1"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locked/>
    <w:uiPriority w:val="0"/>
    <w:pPr>
      <w:ind w:left="840" w:leftChars="400"/>
      <w:jc w:val="both"/>
    </w:pPr>
    <w:rPr>
      <w:rFonts w:ascii="Calibri" w:hAnsi="Calibri" w:eastAsia="宋体" w:cs="Calibri"/>
      <w:iCs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1631</Words>
  <Characters>2027</Characters>
  <Lines>2</Lines>
  <Paragraphs>1</Paragraphs>
  <TotalTime>0</TotalTime>
  <ScaleCrop>false</ScaleCrop>
  <LinksUpToDate>false</LinksUpToDate>
  <CharactersWithSpaces>2032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hb</cp:lastModifiedBy>
  <dcterms:modified xsi:type="dcterms:W3CDTF">2022-09-16T10:15:11Z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2052-11.1.0.9914</vt:lpwstr>
  </property>
</Properties>
</file>