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2"/>
        <w:gridCol w:w="1301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重庆西友新型墙体材料有限公司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专业代码"/>
            <w:r>
              <w:rPr>
                <w:sz w:val="21"/>
                <w:szCs w:val="21"/>
              </w:rPr>
              <w:t>Q：17.12.05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O：17.12.05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Q：17.12.05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（其他未另分类的金属制品的制造）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8月17日19：30-20：00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下料—切割冲压—折弯成型—焊接—抛光打磨—前处理—喷涂—烘烤—检验包装—入库。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关键工序：</w:t>
            </w:r>
            <w:r>
              <w:rPr>
                <w:rFonts w:hint="eastAsia" w:eastAsia="宋体" w:cs="Times New Roman"/>
                <w:lang w:val="en-US" w:eastAsia="zh-CN"/>
              </w:rPr>
              <w:t>焊接、喷漆；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确认过程：</w:t>
            </w:r>
            <w:r>
              <w:rPr>
                <w:rFonts w:hint="eastAsia" w:eastAsia="宋体" w:cs="Times New Roman"/>
                <w:lang w:val="en-US" w:eastAsia="zh-CN"/>
              </w:rPr>
              <w:t>焊接、喷漆过程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，也是特殊过程。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产品生产质量风险：</w:t>
            </w:r>
            <w:r>
              <w:rPr>
                <w:rFonts w:hint="eastAsia" w:eastAsia="宋体" w:cs="Times New Roman"/>
                <w:lang w:val="en-US" w:eastAsia="zh-CN"/>
              </w:rPr>
              <w:t>焊接不牢固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、</w:t>
            </w:r>
            <w:r>
              <w:rPr>
                <w:rFonts w:hint="eastAsia" w:eastAsia="宋体" w:cs="Times New Roman"/>
                <w:lang w:val="en-US" w:eastAsia="zh-CN"/>
              </w:rPr>
              <w:t>漆膜厚度、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附着力差等不符合造成产品报废或退货风险。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控制措施：制定操作指导书，人员技能培训，设备的维护保养的控制等。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中华人民共和国产品质量法、中华人民共和国计量法、率幕墙板板基YS/T429.1-2000；率幕墙板 氟碳喷漆铝单板YS/T429.2-2000；氟碳喷涂单层铝幕墙板技术条件EL/X506-2000; 建筑装饰铝单板GB/23443-2009等。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产品检验项目：</w:t>
            </w:r>
            <w:r>
              <w:rPr>
                <w:rFonts w:hint="eastAsia" w:eastAsia="宋体" w:cs="Times New Roman"/>
                <w:lang w:val="en-US" w:eastAsia="zh-CN"/>
              </w:rPr>
              <w:t>外形尺寸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  <w:r>
              <w:rPr>
                <w:rFonts w:hint="eastAsia" w:eastAsia="宋体" w:cs="Times New Roman"/>
                <w:lang w:val="en-US" w:eastAsia="zh-CN"/>
              </w:rPr>
              <w:t>漆膜厚度、色差、硬度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185420</wp:posOffset>
                  </wp:positionV>
                  <wp:extent cx="815340" cy="403860"/>
                  <wp:effectExtent l="0" t="0" r="3810" b="15240"/>
                  <wp:wrapNone/>
                  <wp:docPr id="3" name="图片 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2022年8月17日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147320</wp:posOffset>
                  </wp:positionV>
                  <wp:extent cx="815340" cy="403860"/>
                  <wp:effectExtent l="0" t="0" r="3810" b="1524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2022年8月17日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2"/>
        <w:gridCol w:w="1301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重庆西友新型墙体材料有限公司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Q：17.12.05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O：17.12.05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sz w:val="21"/>
                <w:szCs w:val="21"/>
              </w:rPr>
              <w:t>：17.12.05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（其他未另分类的金属制品的制造）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8月17日19：30-20：00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下料—切割冲压—折弯成型—焊接—抛光打磨—前处理—喷涂—烘烤—检验包装—入库。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重要环境因素：噪声的排放、固废的排放、废气排放、废水排放等；油漆废气和打磨粉尘，通过活性炭吸附和催化处理后排放；废水，通过沉淀过滤排放到</w:t>
            </w:r>
            <w:r>
              <w:rPr>
                <w:rFonts w:hint="eastAsia" w:cs="Times New Roman"/>
                <w:lang w:val="en-US" w:eastAsia="zh-CN"/>
              </w:rPr>
              <w:t>污水处理站预处理后通过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工业园区的污水管网进入园区污水处理厂处理；废油漆渣和危险固废（漆渣、废活性炭、废水处理污泥）采取集中存放，定期交付有资质单位处理。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污水综合排放标准（GB8978-1996）三级、大气污染物综合排放标准（DB50/418-2016）、工业企业厂界环境噪声排放标准（GB12348-2008）3类、率幕墙板板基YS/T429.1-2000；率幕墙板 氟碳喷漆铝单板YS/T429.2-2000；氟碳喷涂单层铝幕墙板技术条件EL/X506-2000; 建筑装饰铝单板GB/23443-2009等。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u w:val="none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中涵（监）字（2022）第WT05011-1号，</w:t>
            </w:r>
            <w:r>
              <w:rPr>
                <w:rFonts w:hint="eastAsia"/>
                <w:color w:val="000000"/>
                <w:szCs w:val="18"/>
                <w:u w:val="none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none"/>
              </w:rPr>
              <w:t>年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u w:val="none"/>
              </w:rPr>
              <w:t>月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  <w:u w:val="none"/>
              </w:rPr>
              <w:t>日</w:t>
            </w:r>
            <w:r>
              <w:rPr>
                <w:rFonts w:hint="eastAsia"/>
                <w:color w:val="000000"/>
                <w:szCs w:val="18"/>
                <w:u w:val="none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监测项目：废水、废气、噪声。结论：符合要求。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185420</wp:posOffset>
                  </wp:positionV>
                  <wp:extent cx="815340" cy="403860"/>
                  <wp:effectExtent l="0" t="0" r="3810" b="15240"/>
                  <wp:wrapNone/>
                  <wp:docPr id="6" name="图片 6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2022年8月17日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147320</wp:posOffset>
                  </wp:positionV>
                  <wp:extent cx="815340" cy="403860"/>
                  <wp:effectExtent l="0" t="0" r="3810" b="15240"/>
                  <wp:wrapNone/>
                  <wp:docPr id="7" name="图片 7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2022年8月17日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2"/>
        <w:gridCol w:w="1301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重庆西友新型墙体材料有限公司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Q：17.12.05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O：17.12.05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sz w:val="21"/>
                <w:szCs w:val="21"/>
              </w:rPr>
              <w:t>：17.12.05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（其他未另分类的金属制品的制造）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8月17日19：30-20：00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下料—切割冲压—折弯成型—焊接—抛光打磨—前处理—喷涂—烘烤—检验包装—入库。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不可接受风险：火灾、</w:t>
            </w:r>
            <w:r>
              <w:rPr>
                <w:rFonts w:hint="eastAsia" w:cs="Times New Roman"/>
                <w:lang w:val="en-US" w:eastAsia="zh-CN"/>
              </w:rPr>
              <w:t>爆炸；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机械伤害</w:t>
            </w:r>
            <w:r>
              <w:rPr>
                <w:rFonts w:hint="eastAsia" w:cs="Times New Roman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物体打击</w:t>
            </w:r>
            <w:r>
              <w:rPr>
                <w:rFonts w:hint="eastAsia" w:cs="Times New Roman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触电事故</w:t>
            </w:r>
            <w:r>
              <w:rPr>
                <w:rFonts w:hint="eastAsia" w:cs="Times New Roman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职业病等</w:t>
            </w:r>
            <w:r>
              <w:rPr>
                <w:rFonts w:hint="eastAsia" w:cs="Times New Roman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火灾、</w:t>
            </w:r>
            <w:r>
              <w:rPr>
                <w:rFonts w:hint="eastAsia" w:cs="Times New Roman"/>
                <w:lang w:val="en-US" w:eastAsia="zh-CN"/>
              </w:rPr>
              <w:t>爆炸、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机械伤害、物体打击采取制定管理方案控制，职业病采取定期体验预防控制，火灾</w:t>
            </w:r>
            <w:r>
              <w:rPr>
                <w:rFonts w:hint="eastAsia" w:cs="Times New Roman"/>
                <w:lang w:val="en-US" w:eastAsia="zh-CN"/>
              </w:rPr>
              <w:t>、爆炸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、触电事故采取应急预案并演练方式进行控制；作业人员穿戴工作服、防护面具、耳塞、手套等防护用品防护。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中华人民共和国安全消防法、中华人民共和国安全生产法、中华人民共和国职业病防治法、劳动防护用品管理规定、率幕墙板板基YS/T429.1-2000；率幕墙板 氟碳喷漆铝单板YS/T429.2-2000；氟碳喷涂单层铝幕墙板技术条件EL/X506-2000; 建筑装饰铝单板GB/23443-2009等。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报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t>告编号：渝美高（2021）352号。检测单位：重庆美高科技有限公司。检测项目：噪声、粉尘、苯、磷酸、氮氧化物、电焊弧光</w:t>
            </w:r>
            <w:bookmarkStart w:id="4" w:name="_GoBack"/>
            <w:bookmarkEnd w:id="4"/>
            <w: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t>等检测。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185420</wp:posOffset>
                  </wp:positionV>
                  <wp:extent cx="815340" cy="403860"/>
                  <wp:effectExtent l="0" t="0" r="3810" b="15240"/>
                  <wp:wrapNone/>
                  <wp:docPr id="10" name="图片 10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2022年8月17日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147320</wp:posOffset>
                  </wp:positionV>
                  <wp:extent cx="815340" cy="403860"/>
                  <wp:effectExtent l="0" t="0" r="3810" b="15240"/>
                  <wp:wrapNone/>
                  <wp:docPr id="11" name="图片 1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2022年8月17日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4B352CD"/>
    <w:rsid w:val="07BF1D88"/>
    <w:rsid w:val="24077ECC"/>
    <w:rsid w:val="2B4877CB"/>
    <w:rsid w:val="414141C5"/>
    <w:rsid w:val="7B290624"/>
    <w:rsid w:val="7F2C0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1541</Words>
  <Characters>1888</Characters>
  <Lines>2</Lines>
  <Paragraphs>1</Paragraphs>
  <TotalTime>1</TotalTime>
  <ScaleCrop>false</ScaleCrop>
  <LinksUpToDate>false</LinksUpToDate>
  <CharactersWithSpaces>1899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2022-08-20T03:02:29Z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2052-11.1.0.12302</vt:lpwstr>
  </property>
</Properties>
</file>