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0842-2021-QEO-2022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天津尧阳科技发展有限公司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天津尧阳科技发展有限公司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天津市北辰区小淀镇小淀村工业区5号路27号</w:t>
            </w:r>
            <w:bookmarkEnd w:id="6"/>
          </w:p>
        </w:tc>
        <w:tc>
          <w:tcPr>
            <w:tcW w:w="1242" w:type="dxa"/>
            <w:vMerge w:val="restart"/>
            <w:vAlign w:val="center"/>
          </w:tcPr>
          <w:p>
            <w:r>
              <w:rPr>
                <w:rFonts w:hint="eastAsia"/>
              </w:rPr>
              <w:t>邮编</w:t>
            </w:r>
          </w:p>
        </w:tc>
        <w:tc>
          <w:tcPr>
            <w:tcW w:w="1771" w:type="dxa"/>
          </w:tcPr>
          <w:p>
            <w:bookmarkStart w:id="7" w:name="注册邮编"/>
            <w:r>
              <w:t>300000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天津市北辰区双街镇双进道星江庭苑10号楼1门1901</w:t>
            </w:r>
            <w:bookmarkEnd w:id="8"/>
          </w:p>
        </w:tc>
        <w:tc>
          <w:tcPr>
            <w:tcW w:w="1242" w:type="dxa"/>
            <w:vMerge w:val="continue"/>
            <w:vAlign w:val="center"/>
          </w:tcPr>
          <w:p/>
        </w:tc>
        <w:tc>
          <w:tcPr>
            <w:tcW w:w="1771" w:type="dxa"/>
          </w:tcPr>
          <w:p>
            <w:bookmarkStart w:id="9" w:name="办公邮编"/>
            <w:r>
              <w:t>300000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周建立</w:t>
            </w:r>
            <w:bookmarkEnd w:id="10"/>
          </w:p>
        </w:tc>
        <w:tc>
          <w:tcPr>
            <w:tcW w:w="1313" w:type="dxa"/>
            <w:vAlign w:val="center"/>
          </w:tcPr>
          <w:p>
            <w:r>
              <w:rPr>
                <w:rFonts w:hint="eastAsia"/>
              </w:rPr>
              <w:t>电话.</w:t>
            </w:r>
          </w:p>
        </w:tc>
        <w:tc>
          <w:tcPr>
            <w:tcW w:w="2180" w:type="dxa"/>
            <w:vAlign w:val="center"/>
          </w:tcPr>
          <w:p>
            <w:bookmarkStart w:id="11" w:name="联系人电话"/>
            <w:r>
              <w:t>18698051245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郝妍</w:t>
            </w:r>
            <w:bookmarkEnd w:id="13"/>
          </w:p>
        </w:tc>
        <w:tc>
          <w:tcPr>
            <w:tcW w:w="1313" w:type="dxa"/>
            <w:vAlign w:val="center"/>
          </w:tcPr>
          <w:p>
            <w:r>
              <w:rPr>
                <w:rFonts w:hint="eastAsia"/>
              </w:rPr>
              <w:t>管理者代表</w:t>
            </w:r>
          </w:p>
        </w:tc>
        <w:tc>
          <w:tcPr>
            <w:tcW w:w="2180" w:type="dxa"/>
          </w:tcPr>
          <w:p>
            <w:bookmarkStart w:id="14" w:name="管理者代表"/>
            <w:r>
              <w:t>周建立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业务洽谈/招投标→评审→签订合同→采购→验证→交付</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2022年08月11日 上午至2022年08月12日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Q：教学仪器、实验室设备、音体美器材、课桌椅、办公家具、办公用品、窗帘、环保设备、多媒体设备、厨房设备、科技馆设备、电子琴、秒表、舞台设备的销售</w:t>
            </w:r>
          </w:p>
          <w:p>
            <w:r>
              <w:t>E：教学仪器、实验室设备、音体美器材、课桌椅、办公家具、办公用品、窗帘、环保设备、多媒体设备、厨房设备、科技馆设备、电子琴、秒表、舞台设备的销售所涉及场所的相关环境管理活动</w:t>
            </w:r>
          </w:p>
          <w:p>
            <w:r>
              <w:t>O：教学仪器、实验室设备、音体美器材、课桌椅、办公家具、办公用品、窗帘、环保设备、多媒体设备、厨房设备、科技馆设备、电子琴、秒表、舞台设备的销售所涉及场所的相关职业健康安全管理活动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2020年12月  5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2021年8月13日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2024年8月19日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ascii="Times New Roman" w:hAnsi="Times New Roman" w:eastAsia="宋体" w:cs="Times New Roman"/>
                <w:kern w:val="2"/>
                <w:sz w:val="21"/>
                <w:szCs w:val="24"/>
                <w:lang w:val="de-DE" w:eastAsia="ja-JP" w:bidi="ar-SA"/>
              </w:rPr>
            </w:pPr>
            <w:r>
              <w:rPr>
                <w:lang w:val="de-DE" w:eastAsia="ja-JP"/>
              </w:rPr>
              <w:t>注册地址</w:t>
            </w:r>
            <w:r>
              <w:rPr>
                <w:rFonts w:hint="eastAsia"/>
                <w:lang w:val="de-DE"/>
              </w:rPr>
              <w:t>：</w:t>
            </w:r>
            <w:r>
              <w:t>天津市北辰区小淀镇小淀村工业区5号路27号</w:t>
            </w:r>
          </w:p>
        </w:tc>
        <w:tc>
          <w:tcPr>
            <w:tcW w:w="2267" w:type="dxa"/>
            <w:vAlign w:val="top"/>
          </w:tcPr>
          <w:p>
            <w:pPr>
              <w:rPr>
                <w:rFonts w:ascii="Times New Roman" w:hAnsi="Times New Roman" w:eastAsia="宋体" w:cs="Times New Roman"/>
                <w:kern w:val="2"/>
                <w:sz w:val="21"/>
                <w:szCs w:val="24"/>
                <w:lang w:val="de-DE" w:eastAsia="ja-JP" w:bidi="ar-SA"/>
              </w:rPr>
            </w:pPr>
            <w:r>
              <w:rPr>
                <w:rFonts w:hint="eastAsia"/>
              </w:rPr>
              <w:t>经营地址：天津市北辰区双街镇双进道星江庭苑</w:t>
            </w:r>
            <w:r>
              <w:t>10</w:t>
            </w:r>
            <w:r>
              <w:rPr>
                <w:rFonts w:hint="eastAsia"/>
              </w:rPr>
              <w:t>号楼</w:t>
            </w:r>
            <w:r>
              <w:t>1</w:t>
            </w:r>
            <w:r>
              <w:rPr>
                <w:rFonts w:hint="eastAsia"/>
              </w:rPr>
              <w:t>门</w:t>
            </w:r>
            <w:r>
              <w:t>1901</w:t>
            </w:r>
          </w:p>
        </w:tc>
        <w:tc>
          <w:tcPr>
            <w:tcW w:w="571" w:type="dxa"/>
            <w:vAlign w:val="center"/>
          </w:tcPr>
          <w:p>
            <w:pPr>
              <w:rPr>
                <w:rFonts w:hint="eastAsia" w:ascii="Times New Roman" w:hAnsi="Times New Roman" w:eastAsia="宋体" w:cs="Times New Roman"/>
                <w:kern w:val="2"/>
                <w:sz w:val="21"/>
                <w:szCs w:val="24"/>
                <w:lang w:val="en-US" w:eastAsia="ja-JP" w:bidi="ar-SA"/>
              </w:rPr>
            </w:pPr>
            <w:r>
              <w:rPr>
                <w:rFonts w:hint="eastAsia"/>
              </w:rPr>
              <w:t>5</w:t>
            </w:r>
          </w:p>
        </w:tc>
        <w:tc>
          <w:tcPr>
            <w:tcW w:w="2803" w:type="dxa"/>
            <w:vAlign w:val="center"/>
          </w:tcPr>
          <w:p>
            <w:pPr>
              <w:rPr>
                <w:rFonts w:ascii="Times New Roman" w:hAnsi="Times New Roman" w:eastAsia="宋体" w:cs="Times New Roman"/>
                <w:kern w:val="2"/>
                <w:sz w:val="21"/>
                <w:szCs w:val="24"/>
                <w:lang w:val="en-US" w:eastAsia="ja-JP" w:bidi="ar-SA"/>
              </w:rPr>
            </w:pPr>
            <w:r>
              <w:rPr>
                <w:rFonts w:hint="eastAsia"/>
                <w:sz w:val="20"/>
              </w:rPr>
              <w:t>教学仪器、实验室设备、音体美器材、课桌椅、办公家具、办公用品、窗帘、环保设备、多媒体设备、厨房设备、科技馆设备、电子琴、秒表、舞台设备的销售</w:t>
            </w:r>
          </w:p>
        </w:tc>
        <w:tc>
          <w:tcPr>
            <w:tcW w:w="669" w:type="dxa"/>
            <w:vAlign w:val="center"/>
          </w:tcPr>
          <w:p>
            <w:pPr>
              <w:rPr>
                <w:rFonts w:ascii="Times New Roman" w:hAnsi="Times New Roman" w:eastAsia="宋体" w:cs="Times New Roman"/>
                <w:kern w:val="2"/>
                <w:sz w:val="21"/>
                <w:szCs w:val="24"/>
                <w:lang w:val="en-US" w:eastAsia="ja-JP" w:bidi="ar-SA"/>
              </w:rPr>
            </w:pPr>
            <w:r>
              <w:rPr>
                <w:lang w:eastAsia="ja-JP"/>
              </w:rPr>
              <w:t>QEO</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p>
    <w:p>
      <w:r>
        <w:rPr>
          <w:rFonts w:hint="eastAsia"/>
        </w:rPr>
        <w:sym w:font="Wingdings 2" w:char="0052"/>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353695</wp:posOffset>
                  </wp:positionH>
                  <wp:positionV relativeFrom="paragraph">
                    <wp:posOffset>69850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 □绩效 □工艺 □设备■人员能力 □其他 </w:t>
                  </w:r>
                </w:p>
              </w:tc>
            </w:tr>
          </w:tbl>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组织应明确相关管理体系的范围；（详见第二条款审核范围）</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对QMS的适用性（详见第二条款不适用条款和理由说明）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 无</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■以身作则■建立机制■法规宣传■风险机遇的应对■重视顾客反馈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pStyle w:val="3"/>
              <w:tabs>
                <w:tab w:val="left" w:pos="0"/>
                <w:tab w:val="left" w:pos="180"/>
              </w:tabs>
              <w:spacing w:line="360" w:lineRule="auto"/>
              <w:rPr>
                <w:rFonts w:ascii="宋体" w:hAnsi="宋体" w:cs="宋体"/>
                <w:sz w:val="21"/>
                <w:szCs w:val="21"/>
              </w:rPr>
            </w:pPr>
            <w:r>
              <w:rPr>
                <w:rFonts w:hint="eastAsia"/>
              </w:rPr>
              <w:t>最高管理者制定了文件化的管理体系方针：</w:t>
            </w:r>
            <w:r>
              <w:rPr>
                <w:rFonts w:hint="eastAsia" w:ascii="宋体" w:hAnsi="宋体" w:cs="宋体"/>
                <w:sz w:val="21"/>
                <w:szCs w:val="21"/>
              </w:rPr>
              <w:t>守法诚信追求精品，预防污染保护环境；</w:t>
            </w:r>
          </w:p>
          <w:p>
            <w:pPr>
              <w:shd w:val="clear" w:color="auto" w:fill="C7DAF1" w:themeFill="text2" w:themeFillTint="32"/>
              <w:rPr>
                <w:u w:val="single"/>
              </w:rPr>
            </w:pPr>
            <w:r>
              <w:rPr>
                <w:rFonts w:hint="eastAsia" w:ascii="宋体" w:hAnsi="宋体" w:cs="宋体"/>
                <w:szCs w:val="21"/>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rPr>
            </w:pPr>
            <w:r>
              <w:rPr>
                <w:rFonts w:hint="eastAsia"/>
              </w:rPr>
              <w:t>QMS的主管部门是——销售部</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rPr>
                  </w:pPr>
                  <w:r>
                    <w:rPr>
                      <w:rFonts w:hint="eastAsia"/>
                    </w:rPr>
                    <w:t>1.对市场需要产品的发展趋势判断失误。</w:t>
                  </w:r>
                </w:p>
                <w:p>
                  <w:pPr>
                    <w:shd w:val="clear" w:color="auto" w:fill="C7DAF1" w:themeFill="text2" w:themeFillTint="32"/>
                    <w:rPr>
                      <w:rFonts w:hint="eastAsia"/>
                    </w:rPr>
                  </w:pPr>
                  <w:r>
                    <w:rPr>
                      <w:rFonts w:hint="eastAsia"/>
                    </w:rPr>
                    <w:t xml:space="preserve"> 2.客户要求识别不完整。</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3.未能确保能够满足客户要求就签署合同</w:t>
                  </w:r>
                </w:p>
              </w:tc>
              <w:tc>
                <w:tcPr>
                  <w:tcW w:w="3965" w:type="dxa"/>
                  <w:vAlign w:val="top"/>
                </w:tcPr>
                <w:p>
                  <w:pPr>
                    <w:shd w:val="clear" w:color="auto" w:fill="C7DAF1" w:themeFill="text2" w:themeFillTint="32"/>
                    <w:rPr>
                      <w:rFonts w:hint="eastAsia"/>
                    </w:rPr>
                  </w:pPr>
                  <w:r>
                    <w:rPr>
                      <w:rFonts w:hint="eastAsia"/>
                    </w:rPr>
                    <w:t>1.对市场需求产品的发展趋势分析应该经过反复论证。</w:t>
                  </w:r>
                </w:p>
                <w:p>
                  <w:pPr>
                    <w:shd w:val="clear" w:color="auto" w:fill="C7DAF1" w:themeFill="text2" w:themeFillTint="32"/>
                    <w:rPr>
                      <w:rFonts w:hint="eastAsia"/>
                    </w:rPr>
                  </w:pPr>
                  <w:r>
                    <w:rPr>
                      <w:rFonts w:hint="eastAsia"/>
                    </w:rPr>
                    <w:t>2.对客户的要求实施监视和测量。</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 3.在确定与客户签署合同前 落实合同评审事宜。</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rPr>
                  </w:pPr>
                  <w:r>
                    <w:rPr>
                      <w:rFonts w:hint="eastAsia"/>
                    </w:rPr>
                    <w:t>1.不能按时交付。</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 2.交付的产品不符合客户的要求。</w:t>
                  </w:r>
                </w:p>
              </w:tc>
              <w:tc>
                <w:tcPr>
                  <w:tcW w:w="3965" w:type="dxa"/>
                  <w:vAlign w:val="top"/>
                </w:tcPr>
                <w:p>
                  <w:pPr>
                    <w:shd w:val="clear" w:color="auto" w:fill="C7DAF1" w:themeFill="text2" w:themeFillTint="32"/>
                    <w:rPr>
                      <w:rFonts w:hint="eastAsia"/>
                    </w:rPr>
                  </w:pPr>
                  <w:r>
                    <w:rPr>
                      <w:rFonts w:hint="eastAsia"/>
                    </w:rPr>
                    <w:t>1.销售计划管制。</w:t>
                  </w:r>
                </w:p>
                <w:p>
                  <w:pPr>
                    <w:shd w:val="clear" w:color="auto" w:fill="C7DAF1" w:themeFill="text2" w:themeFillTint="32"/>
                    <w:rPr>
                      <w:rFonts w:hint="eastAsia"/>
                    </w:rPr>
                  </w:pPr>
                  <w:r>
                    <w:rPr>
                      <w:rFonts w:hint="eastAsia"/>
                    </w:rPr>
                    <w:t xml:space="preserve"> 2.销售过程的品质控制。</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3.成品的品质检验。</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0"/>
              <w:gridCol w:w="3127"/>
              <w:gridCol w:w="1346"/>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23"/>
                    <w:numPr>
                      <w:ilvl w:val="0"/>
                      <w:numId w:val="2"/>
                    </w:numPr>
                    <w:ind w:left="360" w:leftChars="0" w:hanging="360" w:firstLineChars="0"/>
                    <w:jc w:val="left"/>
                    <w:rPr>
                      <w:rFonts w:ascii="宋体" w:hAnsi="宋体" w:eastAsiaTheme="minorEastAsia" w:cstheme="minorBidi"/>
                      <w:kern w:val="2"/>
                      <w:sz w:val="18"/>
                      <w:szCs w:val="18"/>
                      <w:lang w:val="en-US" w:eastAsia="zh-CN" w:bidi="ar-SA"/>
                    </w:rPr>
                  </w:pPr>
                  <w:r>
                    <w:rPr>
                      <w:rFonts w:hint="eastAsia" w:ascii="宋体" w:hAnsi="宋体"/>
                      <w:sz w:val="18"/>
                      <w:szCs w:val="18"/>
                    </w:rPr>
                    <w:t>客户投诉每年少于3起；</w:t>
                  </w:r>
                </w:p>
              </w:tc>
              <w:tc>
                <w:tcPr>
                  <w:tcW w:w="3136" w:type="dxa"/>
                  <w:shd w:val="clear" w:color="auto" w:fill="auto"/>
                  <w:vAlign w:val="top"/>
                </w:tcPr>
                <w:p>
                  <w:pPr>
                    <w:pStyle w:val="23"/>
                    <w:numPr>
                      <w:ilvl w:val="0"/>
                      <w:numId w:val="3"/>
                    </w:numPr>
                    <w:ind w:left="360" w:leftChars="0" w:hanging="360" w:firstLineChars="0"/>
                    <w:jc w:val="left"/>
                    <w:rPr>
                      <w:rFonts w:ascii="宋体" w:hAnsi="宋体" w:eastAsiaTheme="minorEastAsia" w:cstheme="minorBidi"/>
                      <w:kern w:val="2"/>
                      <w:sz w:val="18"/>
                      <w:szCs w:val="18"/>
                      <w:lang w:val="en-GB" w:eastAsia="zh-CN" w:bidi="ar-SA"/>
                    </w:rPr>
                  </w:pPr>
                  <w:r>
                    <w:rPr>
                      <w:rFonts w:hint="eastAsia" w:ascii="宋体" w:hAnsi="宋体"/>
                      <w:sz w:val="18"/>
                      <w:szCs w:val="18"/>
                    </w:rPr>
                    <w:t>统计客户投诉次数</w:t>
                  </w:r>
                </w:p>
              </w:tc>
              <w:tc>
                <w:tcPr>
                  <w:tcW w:w="1350"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lang w:val="en-GB"/>
                    </w:rPr>
                    <w:t>销售部</w:t>
                  </w:r>
                </w:p>
              </w:tc>
              <w:tc>
                <w:tcPr>
                  <w:tcW w:w="1774" w:type="dxa"/>
                  <w:shd w:val="clear" w:color="auto" w:fill="auto"/>
                  <w:vAlign w:val="top"/>
                </w:tcPr>
                <w:p>
                  <w:pPr>
                    <w:pStyle w:val="23"/>
                    <w:jc w:val="left"/>
                    <w:rPr>
                      <w:rFonts w:ascii="宋体" w:hAnsi="宋体" w:eastAsiaTheme="minorEastAsia" w:cstheme="minorBidi"/>
                      <w:kern w:val="2"/>
                      <w:sz w:val="18"/>
                      <w:szCs w:val="18"/>
                      <w:lang w:val="en-GB" w:eastAsia="zh-CN" w:bidi="ar-SA"/>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23"/>
                    <w:numPr>
                      <w:ilvl w:val="0"/>
                      <w:numId w:val="2"/>
                    </w:numPr>
                    <w:ind w:left="360" w:leftChars="0" w:hanging="360" w:firstLineChars="0"/>
                    <w:jc w:val="left"/>
                    <w:rPr>
                      <w:rFonts w:ascii="宋体" w:hAnsi="宋体" w:eastAsiaTheme="minorEastAsia" w:cstheme="minorBidi"/>
                      <w:kern w:val="2"/>
                      <w:sz w:val="18"/>
                      <w:szCs w:val="18"/>
                      <w:lang w:val="en-US" w:eastAsia="zh-CN" w:bidi="ar-SA"/>
                    </w:rPr>
                  </w:pPr>
                  <w:r>
                    <w:rPr>
                      <w:rFonts w:hint="eastAsia" w:ascii="宋体" w:hAnsi="宋体"/>
                      <w:sz w:val="18"/>
                      <w:szCs w:val="18"/>
                    </w:rPr>
                    <w:t>顾客满意度96%以上；</w:t>
                  </w:r>
                </w:p>
              </w:tc>
              <w:tc>
                <w:tcPr>
                  <w:tcW w:w="3136" w:type="dxa"/>
                  <w:shd w:val="clear" w:color="auto" w:fill="auto"/>
                  <w:vAlign w:val="top"/>
                </w:tcPr>
                <w:p>
                  <w:pPr>
                    <w:pStyle w:val="23"/>
                    <w:jc w:val="left"/>
                    <w:rPr>
                      <w:rFonts w:ascii="宋体" w:hAnsi="宋体" w:eastAsiaTheme="minorEastAsia" w:cstheme="minorBidi"/>
                      <w:kern w:val="2"/>
                      <w:sz w:val="18"/>
                      <w:szCs w:val="18"/>
                      <w:lang w:val="en-US" w:eastAsia="zh-CN" w:bidi="ar-SA"/>
                    </w:rPr>
                  </w:pPr>
                  <w:r>
                    <w:rPr>
                      <w:rFonts w:hint="eastAsia" w:ascii="宋体" w:hAnsi="宋体"/>
                      <w:sz w:val="18"/>
                      <w:szCs w:val="18"/>
                    </w:rPr>
                    <w:t>2、顾客满意度总分÷调查顾客数x100%</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ascii="宋体" w:hAnsi="宋体"/>
                    </w:rPr>
                    <w:t>销售部</w:t>
                  </w:r>
                </w:p>
              </w:tc>
              <w:tc>
                <w:tcPr>
                  <w:tcW w:w="1774" w:type="dxa"/>
                  <w:shd w:val="clear" w:color="auto" w:fill="auto"/>
                  <w:vAlign w:val="top"/>
                </w:tcPr>
                <w:p>
                  <w:pPr>
                    <w:pStyle w:val="23"/>
                    <w:jc w:val="left"/>
                    <w:rPr>
                      <w:rFonts w:ascii="宋体" w:hAnsi="宋体" w:eastAsiaTheme="minorEastAsia" w:cstheme="minorBidi"/>
                      <w:kern w:val="2"/>
                      <w:sz w:val="18"/>
                      <w:szCs w:val="18"/>
                      <w:lang w:val="en-US" w:eastAsia="zh-CN" w:bidi="ar-SA"/>
                    </w:rPr>
                  </w:pPr>
                  <w:r>
                    <w:rPr>
                      <w:rFonts w:hint="eastAsia" w:ascii="宋体" w:hAnsi="宋体"/>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23"/>
                    <w:numPr>
                      <w:ilvl w:val="0"/>
                      <w:numId w:val="2"/>
                    </w:numPr>
                    <w:ind w:left="360" w:leftChars="0" w:hanging="360" w:firstLineChars="0"/>
                    <w:jc w:val="left"/>
                    <w:rPr>
                      <w:rFonts w:ascii="宋体" w:hAnsi="宋体" w:eastAsiaTheme="minorEastAsia" w:cstheme="minorBidi"/>
                      <w:kern w:val="2"/>
                      <w:sz w:val="18"/>
                      <w:szCs w:val="18"/>
                      <w:lang w:val="en-US" w:eastAsia="zh-CN" w:bidi="ar-SA"/>
                    </w:rPr>
                  </w:pPr>
                  <w:r>
                    <w:rPr>
                      <w:rFonts w:hint="eastAsia" w:ascii="宋体" w:hAnsi="宋体"/>
                      <w:sz w:val="18"/>
                      <w:szCs w:val="18"/>
                    </w:rPr>
                    <w:t>固体废弃物100%合理分类理；</w:t>
                  </w:r>
                </w:p>
              </w:tc>
              <w:tc>
                <w:tcPr>
                  <w:tcW w:w="3136" w:type="dxa"/>
                  <w:shd w:val="clear" w:color="auto" w:fill="auto"/>
                  <w:vAlign w:val="top"/>
                </w:tcPr>
                <w:p>
                  <w:pPr>
                    <w:pStyle w:val="23"/>
                    <w:numPr>
                      <w:ilvl w:val="0"/>
                      <w:numId w:val="4"/>
                    </w:numPr>
                    <w:ind w:left="360" w:leftChars="0" w:hanging="360" w:firstLineChars="0"/>
                    <w:jc w:val="left"/>
                    <w:rPr>
                      <w:rFonts w:ascii="宋体" w:hAnsi="宋体" w:eastAsiaTheme="minorEastAsia" w:cstheme="minorBidi"/>
                      <w:kern w:val="2"/>
                      <w:sz w:val="18"/>
                      <w:szCs w:val="18"/>
                      <w:lang w:val="en-US" w:eastAsia="zh-CN" w:bidi="ar-SA"/>
                    </w:rPr>
                  </w:pPr>
                  <w:r>
                    <w:rPr>
                      <w:rFonts w:hint="eastAsia" w:ascii="宋体" w:hAnsi="宋体"/>
                      <w:sz w:val="18"/>
                      <w:szCs w:val="18"/>
                    </w:rPr>
                    <w:t>已分类固体废物÷需分类固体废物x100%</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ascii="宋体" w:hAnsi="宋体"/>
                    </w:rPr>
                    <w:t>行政部</w:t>
                  </w:r>
                </w:p>
              </w:tc>
              <w:tc>
                <w:tcPr>
                  <w:tcW w:w="1774" w:type="dxa"/>
                  <w:shd w:val="clear" w:color="auto" w:fill="auto"/>
                  <w:vAlign w:val="top"/>
                </w:tcPr>
                <w:p>
                  <w:pPr>
                    <w:pStyle w:val="23"/>
                    <w:jc w:val="left"/>
                    <w:rPr>
                      <w:rFonts w:ascii="宋体" w:hAnsi="宋体" w:eastAsiaTheme="minorEastAsia" w:cstheme="minorBidi"/>
                      <w:kern w:val="2"/>
                      <w:sz w:val="18"/>
                      <w:szCs w:val="18"/>
                      <w:lang w:val="en-US"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23"/>
                    <w:numPr>
                      <w:ilvl w:val="0"/>
                      <w:numId w:val="2"/>
                    </w:numPr>
                    <w:ind w:left="360" w:leftChars="0" w:hanging="360" w:firstLineChars="0"/>
                    <w:jc w:val="left"/>
                    <w:rPr>
                      <w:rFonts w:ascii="宋体" w:hAnsi="宋体" w:eastAsiaTheme="minorEastAsia" w:cstheme="minorBidi"/>
                      <w:kern w:val="2"/>
                      <w:sz w:val="18"/>
                      <w:szCs w:val="18"/>
                      <w:lang w:val="en-US" w:eastAsia="zh-CN" w:bidi="ar-SA"/>
                    </w:rPr>
                  </w:pPr>
                  <w:r>
                    <w:rPr>
                      <w:rFonts w:hint="eastAsia" w:ascii="宋体" w:hAnsi="宋体"/>
                      <w:sz w:val="18"/>
                      <w:szCs w:val="18"/>
                    </w:rPr>
                    <w:t>触电事故发生率为零；</w:t>
                  </w:r>
                </w:p>
              </w:tc>
              <w:tc>
                <w:tcPr>
                  <w:tcW w:w="3136" w:type="dxa"/>
                  <w:shd w:val="clear" w:color="auto" w:fill="auto"/>
                  <w:vAlign w:val="top"/>
                </w:tcPr>
                <w:p>
                  <w:pPr>
                    <w:pStyle w:val="23"/>
                    <w:numPr>
                      <w:ilvl w:val="0"/>
                      <w:numId w:val="4"/>
                    </w:numPr>
                    <w:ind w:left="360" w:leftChars="0" w:hanging="360" w:firstLineChars="0"/>
                    <w:jc w:val="left"/>
                    <w:rPr>
                      <w:rFonts w:ascii="宋体" w:hAnsi="宋体" w:eastAsiaTheme="minorEastAsia" w:cstheme="minorBidi"/>
                      <w:kern w:val="2"/>
                      <w:sz w:val="18"/>
                      <w:szCs w:val="18"/>
                      <w:lang w:val="en-US" w:eastAsia="zh-CN" w:bidi="ar-SA"/>
                    </w:rPr>
                  </w:pPr>
                  <w:r>
                    <w:rPr>
                      <w:rFonts w:hint="eastAsia" w:ascii="宋体" w:hAnsi="宋体"/>
                      <w:sz w:val="18"/>
                      <w:szCs w:val="18"/>
                    </w:rPr>
                    <w:t>统计触电事故发生次数</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ascii="宋体" w:hAnsi="宋体"/>
                    </w:rPr>
                    <w:t>行政部</w:t>
                  </w:r>
                </w:p>
              </w:tc>
              <w:tc>
                <w:tcPr>
                  <w:tcW w:w="1774" w:type="dxa"/>
                  <w:shd w:val="clear" w:color="auto" w:fill="auto"/>
                  <w:vAlign w:val="top"/>
                </w:tcPr>
                <w:p>
                  <w:pPr>
                    <w:pStyle w:val="23"/>
                    <w:jc w:val="left"/>
                    <w:rPr>
                      <w:rFonts w:ascii="宋体" w:hAnsi="宋体" w:eastAsiaTheme="minorEastAsia" w:cstheme="minorBidi"/>
                      <w:kern w:val="2"/>
                      <w:sz w:val="18"/>
                      <w:szCs w:val="18"/>
                      <w:lang w:val="en-US" w:eastAsia="zh-CN" w:bidi="ar-SA"/>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23"/>
                    <w:numPr>
                      <w:ilvl w:val="0"/>
                      <w:numId w:val="2"/>
                    </w:numPr>
                    <w:ind w:left="360" w:leftChars="0" w:hanging="360" w:firstLineChars="0"/>
                    <w:jc w:val="left"/>
                    <w:rPr>
                      <w:rFonts w:ascii="宋体" w:hAnsi="宋体" w:eastAsiaTheme="minorEastAsia" w:cstheme="minorBidi"/>
                      <w:kern w:val="2"/>
                      <w:sz w:val="18"/>
                      <w:szCs w:val="18"/>
                      <w:lang w:val="en-US" w:eastAsia="zh-CN" w:bidi="ar-SA"/>
                    </w:rPr>
                  </w:pPr>
                  <w:r>
                    <w:rPr>
                      <w:rFonts w:hint="eastAsia" w:ascii="宋体" w:hAnsi="宋体"/>
                      <w:sz w:val="18"/>
                      <w:szCs w:val="18"/>
                    </w:rPr>
                    <w:t xml:space="preserve">各类重伤以上事故发生率零； </w:t>
                  </w:r>
                </w:p>
              </w:tc>
              <w:tc>
                <w:tcPr>
                  <w:tcW w:w="3136" w:type="dxa"/>
                  <w:shd w:val="clear" w:color="auto" w:fill="auto"/>
                  <w:vAlign w:val="top"/>
                </w:tcPr>
                <w:p>
                  <w:pPr>
                    <w:pStyle w:val="23"/>
                    <w:numPr>
                      <w:ilvl w:val="0"/>
                      <w:numId w:val="4"/>
                    </w:numPr>
                    <w:ind w:left="360" w:leftChars="0" w:hanging="360" w:firstLineChars="0"/>
                    <w:jc w:val="left"/>
                    <w:rPr>
                      <w:rFonts w:ascii="宋体" w:hAnsi="宋体" w:eastAsiaTheme="minorEastAsia" w:cstheme="minorBidi"/>
                      <w:kern w:val="2"/>
                      <w:sz w:val="18"/>
                      <w:szCs w:val="18"/>
                      <w:lang w:val="en-US" w:eastAsia="zh-CN" w:bidi="ar-SA"/>
                    </w:rPr>
                  </w:pPr>
                  <w:r>
                    <w:rPr>
                      <w:rFonts w:hint="eastAsia" w:ascii="宋体" w:hAnsi="宋体"/>
                      <w:sz w:val="18"/>
                      <w:szCs w:val="18"/>
                    </w:rPr>
                    <w:t>统计重伤以上事故发生次数</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ascii="宋体" w:hAnsi="宋体"/>
                    </w:rPr>
                    <w:t>销售部</w:t>
                  </w:r>
                </w:p>
              </w:tc>
              <w:tc>
                <w:tcPr>
                  <w:tcW w:w="1774" w:type="dxa"/>
                  <w:shd w:val="clear" w:color="auto" w:fill="auto"/>
                  <w:vAlign w:val="top"/>
                </w:tcPr>
                <w:p>
                  <w:pPr>
                    <w:pStyle w:val="23"/>
                    <w:jc w:val="left"/>
                    <w:rPr>
                      <w:rFonts w:ascii="宋体" w:hAnsi="宋体" w:eastAsiaTheme="minorEastAsia" w:cstheme="minorBidi"/>
                      <w:kern w:val="2"/>
                      <w:sz w:val="18"/>
                      <w:szCs w:val="18"/>
                      <w:lang w:val="en-US" w:eastAsia="zh-CN" w:bidi="ar-SA"/>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ascii="Times New Roman" w:hAnsi="Times New Roman" w:eastAsia="宋体" w:cs="Times New Roman"/>
                      <w:kern w:val="2"/>
                      <w:sz w:val="21"/>
                      <w:szCs w:val="24"/>
                      <w:lang w:val="en-US" w:eastAsia="zh-CN" w:bidi="ar-SA"/>
                    </w:rPr>
                  </w:pPr>
                  <w:r>
                    <w:rPr>
                      <w:rFonts w:hint="eastAsia" w:ascii="宋体" w:hAnsi="宋体"/>
                      <w:sz w:val="18"/>
                      <w:szCs w:val="18"/>
                    </w:rPr>
                    <w:t>6、火灾事故发生率为零。</w:t>
                  </w:r>
                </w:p>
              </w:tc>
              <w:tc>
                <w:tcPr>
                  <w:tcW w:w="0" w:type="auto"/>
                  <w:vAlign w:val="top"/>
                </w:tcPr>
                <w:p>
                  <w:pPr>
                    <w:rPr>
                      <w:rFonts w:ascii="Times New Roman" w:hAnsi="Times New Roman" w:eastAsia="宋体" w:cs="Times New Roman"/>
                      <w:kern w:val="2"/>
                      <w:sz w:val="21"/>
                      <w:szCs w:val="24"/>
                      <w:lang w:val="en-US" w:eastAsia="zh-CN" w:bidi="ar-SA"/>
                    </w:rPr>
                  </w:pPr>
                  <w:r>
                    <w:rPr>
                      <w:rFonts w:hint="eastAsia" w:ascii="宋体" w:hAnsi="宋体"/>
                      <w:sz w:val="18"/>
                      <w:szCs w:val="18"/>
                    </w:rPr>
                    <w:t>6、统计火灾事故发生次数</w:t>
                  </w:r>
                </w:p>
              </w:tc>
              <w:tc>
                <w:tcPr>
                  <w:tcW w:w="0" w:type="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行政部</w:t>
                  </w:r>
                </w:p>
              </w:tc>
              <w:tc>
                <w:tcPr>
                  <w:tcW w:w="0" w:type="auto"/>
                  <w:vAlign w:val="top"/>
                </w:tcPr>
                <w:p>
                  <w:pPr>
                    <w:rPr>
                      <w:rFonts w:ascii="Times New Roman" w:hAnsi="Times New Roman" w:eastAsia="宋体" w:cs="Times New Roman"/>
                      <w:kern w:val="2"/>
                      <w:sz w:val="21"/>
                      <w:szCs w:val="24"/>
                      <w:lang w:val="en-US" w:eastAsia="zh-CN" w:bidi="ar-SA"/>
                    </w:rPr>
                  </w:pPr>
                  <w:r>
                    <w:rPr>
                      <w:rFonts w:hint="eastAsia" w:ascii="宋体" w:hAnsi="宋体"/>
                      <w:sz w:val="18"/>
                      <w:szCs w:val="18"/>
                    </w:rPr>
                    <w:t>0</w:t>
                  </w: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100   </w:t>
            </w:r>
            <w:r>
              <w:rPr>
                <w:rFonts w:hint="eastAsia"/>
              </w:rPr>
              <w:t>平方米；生产车间</w:t>
            </w:r>
            <w:r>
              <w:rPr>
                <w:rFonts w:hint="eastAsia"/>
                <w:u w:val="single"/>
              </w:rPr>
              <w:t xml:space="preserve">  0 </w:t>
            </w:r>
            <w:r>
              <w:rPr>
                <w:rFonts w:hint="eastAsia"/>
              </w:rPr>
              <w:t>个；库房</w:t>
            </w:r>
            <w:r>
              <w:rPr>
                <w:rFonts w:hint="eastAsia"/>
                <w:u w:val="single"/>
              </w:rPr>
              <w:t xml:space="preserve">  0  </w:t>
            </w:r>
            <w:r>
              <w:rPr>
                <w:rFonts w:hint="eastAsia"/>
              </w:rPr>
              <w:t>个；实验室</w:t>
            </w:r>
            <w:r>
              <w:rPr>
                <w:rFonts w:hint="eastAsia"/>
                <w:u w:val="single"/>
              </w:rPr>
              <w:t xml:space="preserve">  0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电脑、打印机、WiFi、文件柜                  （列举2~4种）</w:t>
            </w:r>
          </w:p>
          <w:p>
            <w:pPr>
              <w:shd w:val="clear" w:color="auto" w:fill="C7DAF1" w:themeFill="text2" w:themeFillTint="32"/>
            </w:pPr>
            <w:r>
              <w:rPr>
                <w:rFonts w:hint="eastAsia"/>
              </w:rPr>
              <w:t>特种设备：</w:t>
            </w:r>
            <w:r>
              <w:rPr>
                <w:rFonts w:ascii="Wingdings" w:hAnsi="Wingdings"/>
              </w:rPr>
              <w:t>□</w:t>
            </w:r>
            <w:r>
              <w:rPr>
                <w:rFonts w:hint="eastAsia"/>
              </w:rPr>
              <w:t xml:space="preserve">叉车 </w:t>
            </w:r>
            <w:r>
              <w:rPr>
                <w:rFonts w:ascii="Wingdings" w:hAnsi="Wingdings"/>
              </w:rPr>
              <w:t>□</w:t>
            </w:r>
            <w:r>
              <w:rPr>
                <w:rFonts w:hint="eastAsia"/>
              </w:rPr>
              <w:t xml:space="preserve">行车 </w:t>
            </w:r>
            <w:r>
              <w:rPr>
                <w:rFonts w:ascii="Wingdings" w:hAnsi="Wingdings"/>
              </w:rPr>
              <w:t>□</w:t>
            </w:r>
            <w:r>
              <w:rPr>
                <w:rFonts w:hint="eastAsia"/>
              </w:rPr>
              <w:t xml:space="preserve">锅炉 </w:t>
            </w:r>
            <w:r>
              <w:rPr>
                <w:rFonts w:ascii="Wingdings" w:hAnsi="Wingdings"/>
              </w:rPr>
              <w:t>□</w:t>
            </w:r>
            <w:r>
              <w:rPr>
                <w:rFonts w:hint="eastAsia"/>
              </w:rPr>
              <w:t xml:space="preserve">电梯  </w:t>
            </w:r>
            <w:r>
              <w:rPr>
                <w:rFonts w:ascii="Wingdings" w:hAnsi="Wingdings"/>
              </w:rPr>
              <w:t>□</w:t>
            </w:r>
            <w:r>
              <w:rPr>
                <w:rFonts w:hint="eastAsia"/>
              </w:rPr>
              <w:t xml:space="preserve">压力容器  </w:t>
            </w:r>
            <w:r>
              <w:rPr>
                <w:rFonts w:ascii="Wingdings" w:hAnsi="Wingdings"/>
              </w:rPr>
              <w:t>□</w:t>
            </w:r>
            <w:r>
              <w:rPr>
                <w:rFonts w:hint="eastAsia"/>
              </w:rPr>
              <w:t xml:space="preserve">压力管道  ■不适用  </w:t>
            </w:r>
          </w:p>
          <w:p>
            <w:pPr>
              <w:shd w:val="clear" w:color="auto" w:fill="C7DAF1" w:themeFill="text2" w:themeFillTint="32"/>
              <w:rPr>
                <w:u w:val="single"/>
              </w:rPr>
            </w:pPr>
            <w:r>
              <w:rPr>
                <w:rFonts w:hint="eastAsia"/>
              </w:rPr>
              <w:t>特种设备管理：</w:t>
            </w:r>
            <w:r>
              <w:rPr>
                <w:rFonts w:ascii="Wingdings" w:hAnsi="Wingdings"/>
              </w:rPr>
              <w:t>□</w:t>
            </w:r>
            <w:r>
              <w:rPr>
                <w:rFonts w:hint="eastAsia"/>
              </w:rPr>
              <w:t xml:space="preserve">进行了定期检验  </w:t>
            </w:r>
            <w:r>
              <w:rPr>
                <w:rFonts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ascii="Wingdings" w:hAnsi="Wingdings"/>
              </w:rPr>
              <w:t>□</w:t>
            </w:r>
            <w:r>
              <w:rPr>
                <w:rFonts w:hint="eastAsia"/>
              </w:rPr>
              <w:t xml:space="preserve">计量器具   ■服务流程检查表  </w:t>
            </w:r>
            <w:r>
              <w:rPr>
                <w:rFonts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ascii="Wingdings" w:hAnsi="Wingdings"/>
              </w:rPr>
              <w:t>□</w:t>
            </w:r>
            <w:r>
              <w:rPr>
                <w:rFonts w:hint="eastAsia"/>
              </w:rPr>
              <w:t xml:space="preserve">自校   </w:t>
            </w:r>
            <w:r>
              <w:rPr>
                <w:rFonts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rFonts w:ascii="Times New Roman" w:hAnsi="Times New Roman" w:eastAsia="宋体" w:cs="Times New Roman"/>
                <w:kern w:val="2"/>
                <w:sz w:val="21"/>
                <w:szCs w:val="24"/>
                <w:u w:val="single"/>
                <w:lang w:val="en-US" w:eastAsia="zh-CN" w:bidi="ar-SA"/>
              </w:rPr>
            </w:pPr>
            <w:r>
              <w:rPr>
                <w:rFonts w:hint="eastAsia"/>
              </w:rPr>
              <w:t>计量器具管理：</w:t>
            </w:r>
            <w:r>
              <w:rPr>
                <w:rFonts w:ascii="Wingdings" w:hAnsi="Wingdings"/>
              </w:rPr>
              <w:t>□</w:t>
            </w:r>
            <w:r>
              <w:rPr>
                <w:rFonts w:hint="eastAsia"/>
              </w:rPr>
              <w:t xml:space="preserve">进行了定期校准/检定  </w:t>
            </w:r>
            <w:r>
              <w:rPr>
                <w:rFonts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ascii="Wingdings" w:hAnsi="Wingdings"/>
              </w:rPr>
              <w:t>□</w:t>
            </w:r>
            <w:r>
              <w:rPr>
                <w:rFonts w:hint="eastAsia"/>
              </w:rPr>
              <w:t xml:space="preserve">加工工艺 </w:t>
            </w:r>
            <w:r>
              <w:rPr>
                <w:rFonts w:ascii="Wingdings" w:hAnsi="Wingdings"/>
              </w:rPr>
              <w:t>□</w:t>
            </w:r>
            <w:r>
              <w:rPr>
                <w:rFonts w:hint="eastAsia"/>
              </w:rPr>
              <w:t xml:space="preserve">生产经验  ■管理软件  ■市场预测   </w:t>
            </w:r>
            <w:r>
              <w:rPr>
                <w:rFonts w:ascii="Wingdings" w:hAnsi="Wingdings"/>
              </w:rPr>
              <w:t>□</w:t>
            </w:r>
            <w:r>
              <w:rPr>
                <w:rFonts w:hint="eastAsia"/>
              </w:rPr>
              <w:t xml:space="preserve">企业标准  </w:t>
            </w:r>
            <w:r>
              <w:rPr>
                <w:rFonts w:ascii="Wingdings" w:hAnsi="Wingdings"/>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外部知识: ■顾客提供资料 ■产品标准  ■学术交流信息  ■专业会议信息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ascii="Wingdings" w:hAnsi="Wingdings"/>
              </w:rPr>
              <w:t>□</w:t>
            </w:r>
            <w:r>
              <w:rPr>
                <w:rFonts w:hint="eastAsia"/>
              </w:rPr>
              <w:t xml:space="preserve">换岗  ■培训  ■考核   ■辅导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ascii="Wingdings" w:hAnsi="Wingdings"/>
              </w:rPr>
              <w:t>□</w:t>
            </w:r>
            <w:r>
              <w:rPr>
                <w:rFonts w:hint="eastAsia"/>
              </w:rPr>
              <w:t xml:space="preserve">电工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其他  无</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ascii="Wingdings" w:hAnsi="Wingdings"/>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其他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外部沟通方式：■宣传材料 ■网站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rPr>
              <w:t xml:space="preserve"> ■工艺流程图 ■作业文件  </w:t>
            </w:r>
            <w:r>
              <w:rPr>
                <w:rFonts w:ascii="Wingdings" w:hAnsi="Wingdings"/>
              </w:rPr>
              <w:t>□</w:t>
            </w:r>
            <w:r>
              <w:rPr>
                <w:rFonts w:hint="eastAsia"/>
              </w:rPr>
              <w:t xml:space="preserve">检测计划   ■接收准则  </w:t>
            </w:r>
            <w:r>
              <w:rPr>
                <w:rFonts w:ascii="Wingdings" w:hAnsi="Wingdings"/>
              </w:rPr>
              <w:t>□</w:t>
            </w:r>
            <w:r>
              <w:rPr>
                <w:rFonts w:hint="eastAsia"/>
              </w:rPr>
              <w:t xml:space="preserve">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  ■顾客要求  </w:t>
            </w:r>
            <w:r>
              <w:rPr>
                <w:rFonts w:ascii="Wingdings" w:hAnsi="Wingdings"/>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t>产品销售</w:t>
                  </w:r>
                </w:p>
              </w:tc>
              <w:tc>
                <w:tcPr>
                  <w:tcW w:w="36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t>销售过程</w:t>
                  </w:r>
                </w:p>
              </w:tc>
              <w:tc>
                <w:tcPr>
                  <w:tcW w:w="32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t>管理制度要求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ascii="Wingdings" w:hAnsi="Wingdings"/>
              </w:rPr>
              <w:t>□</w:t>
            </w:r>
            <w:r>
              <w:rPr>
                <w:rFonts w:hint="eastAsia"/>
              </w:rPr>
              <w:t xml:space="preserve">容器编号 </w:t>
            </w:r>
            <w:r>
              <w:rPr>
                <w:rFonts w:ascii="Wingdings" w:hAnsi="Wingdings"/>
              </w:rPr>
              <w:t>□</w:t>
            </w:r>
            <w:r>
              <w:rPr>
                <w:rFonts w:hint="eastAsia"/>
              </w:rPr>
              <w:t xml:space="preserve">人员编号 </w:t>
            </w:r>
            <w:r>
              <w:rPr>
                <w:rFonts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配方 ■个人信息 </w:t>
            </w:r>
            <w:r>
              <w:rPr>
                <w:rFonts w:ascii="Wingdings" w:hAnsi="Wingdings"/>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ascii="Wingdings" w:hAnsi="Wingdings"/>
              </w:rPr>
              <w:t>□</w:t>
            </w:r>
            <w:r>
              <w:rPr>
                <w:rFonts w:hint="eastAsia"/>
              </w:rPr>
              <w:t xml:space="preserve">三包■维修 </w:t>
            </w:r>
            <w:r>
              <w:rPr>
                <w:rFonts w:ascii="Wingdings" w:hAnsi="Wingdings"/>
              </w:rPr>
              <w:t>□</w:t>
            </w:r>
            <w:r>
              <w:rPr>
                <w:rFonts w:hint="eastAsia"/>
              </w:rPr>
              <w:t xml:space="preserve">赔偿 </w:t>
            </w:r>
            <w:r>
              <w:rPr>
                <w:rFonts w:ascii="Wingdings" w:hAnsi="Wingdings"/>
              </w:rPr>
              <w:t>□</w:t>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 无</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ascii="Wingdings" w:hAnsi="Wingdings"/>
              </w:rPr>
              <w:t>□</w:t>
            </w:r>
            <w:r>
              <w:rPr>
                <w:rFonts w:hint="eastAsia"/>
              </w:rPr>
              <w:t xml:space="preserve">首件检验■过程检验 </w:t>
            </w:r>
            <w:r>
              <w:rPr>
                <w:rFonts w:ascii="Wingdings" w:hAnsi="Wingdings"/>
              </w:rPr>
              <w:t>□</w:t>
            </w:r>
            <w:r>
              <w:rPr>
                <w:rFonts w:hint="eastAsia"/>
              </w:rPr>
              <w:t xml:space="preserve">最终检验 </w:t>
            </w:r>
            <w:r>
              <w:rPr>
                <w:rFonts w:ascii="Wingdings" w:hAnsi="Wingdings"/>
              </w:rPr>
              <w:t>□</w:t>
            </w:r>
            <w:r>
              <w:rPr>
                <w:rFonts w:hint="eastAsia"/>
              </w:rPr>
              <w:t xml:space="preserve">型式检验 </w:t>
            </w:r>
            <w:r>
              <w:rPr>
                <w:rFonts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2022年4月20日-21日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2022年5月20日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■不合格产品/服务■自我验证的结果  </w:t>
            </w:r>
            <w:r>
              <w:rPr>
                <w:rFonts w:ascii="Wingdings" w:hAnsi="Wingdings"/>
              </w:rPr>
              <w:t>□</w:t>
            </w:r>
            <w:r>
              <w:rPr>
                <w:rFonts w:hint="eastAsia"/>
              </w:rPr>
              <w:t xml:space="preserve">顾客投诉  ■顾客满意调查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■内审不符合项   </w:t>
            </w:r>
            <w:r>
              <w:rPr>
                <w:rFonts w:ascii="Wingdings" w:hAnsi="Wingdings"/>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外部环境</w:t>
                  </w:r>
                </w:p>
              </w:tc>
              <w:tc>
                <w:tcPr>
                  <w:tcW w:w="7375" w:type="dxa"/>
                  <w:vAlign w:val="top"/>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内部环境</w:t>
                  </w:r>
                </w:p>
              </w:tc>
              <w:tc>
                <w:tcPr>
                  <w:tcW w:w="7375" w:type="dxa"/>
                  <w:vAlign w:val="top"/>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□生产 ■检验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□达标排放 ■消防控制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最高管理者制定了文件化的管理体系方针：守法诚信追求精品，预防污染保护环境；</w:t>
            </w:r>
          </w:p>
          <w:p>
            <w:pPr>
              <w:shd w:val="clear" w:color="auto" w:fill="EBF1DE" w:themeFill="accent3" w:themeFillTint="32"/>
            </w:pPr>
            <w:r>
              <w:rPr>
                <w:rFonts w:hint="eastAsia"/>
              </w:rPr>
              <w:t>关爱员工健康安全，持续改进追求卓越</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cs="宋体"/>
                      <w:kern w:val="2"/>
                      <w:sz w:val="20"/>
                      <w:szCs w:val="20"/>
                      <w:lang w:val="en-US" w:eastAsia="zh-CN" w:bidi="ar-SA"/>
                    </w:rPr>
                  </w:pPr>
                  <w:r>
                    <w:rPr>
                      <w:rFonts w:hint="eastAsia"/>
                      <w:sz w:val="20"/>
                      <w:szCs w:val="20"/>
                    </w:rPr>
                    <w:t>1.生产活动与服务发生变化时，环境因素危险源未及时更新</w:t>
                  </w:r>
                </w:p>
              </w:tc>
              <w:tc>
                <w:tcPr>
                  <w:tcW w:w="3965" w:type="dxa"/>
                  <w:vAlign w:val="center"/>
                </w:tcPr>
                <w:p>
                  <w:pPr>
                    <w:rPr>
                      <w:rFonts w:ascii="宋体" w:hAnsi="宋体" w:eastAsia="宋体" w:cs="宋体"/>
                      <w:kern w:val="2"/>
                      <w:sz w:val="20"/>
                      <w:szCs w:val="20"/>
                      <w:lang w:val="en-US" w:eastAsia="zh-CN" w:bidi="ar-SA"/>
                    </w:rPr>
                  </w:pPr>
                  <w:r>
                    <w:rPr>
                      <w:rFonts w:hint="eastAsia"/>
                      <w:sz w:val="20"/>
                      <w:szCs w:val="20"/>
                    </w:rPr>
                    <w:t>环境因素危险源识别与评价管理中明确环境因素危险源明确评价及更新的时机:每年一次评审、生产活动和服务有增减时</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cs="宋体"/>
                      <w:kern w:val="2"/>
                      <w:sz w:val="20"/>
                      <w:szCs w:val="20"/>
                      <w:lang w:val="en-US" w:eastAsia="zh-CN" w:bidi="ar-SA"/>
                    </w:rPr>
                  </w:pPr>
                  <w:r>
                    <w:rPr>
                      <w:rFonts w:hint="eastAsia"/>
                      <w:sz w:val="20"/>
                      <w:szCs w:val="20"/>
                    </w:rPr>
                    <w:t>2.重要环境因素危险源识别错误,漏识别或多识别</w:t>
                  </w:r>
                </w:p>
              </w:tc>
              <w:tc>
                <w:tcPr>
                  <w:tcW w:w="3965" w:type="dxa"/>
                  <w:vAlign w:val="center"/>
                </w:tcPr>
                <w:p>
                  <w:pPr>
                    <w:rPr>
                      <w:rFonts w:ascii="宋体" w:hAnsi="宋体" w:eastAsia="宋体" w:cs="宋体"/>
                      <w:kern w:val="2"/>
                      <w:sz w:val="20"/>
                      <w:szCs w:val="20"/>
                      <w:lang w:val="en-US" w:eastAsia="zh-CN" w:bidi="ar-SA"/>
                    </w:rPr>
                  </w:pPr>
                  <w:r>
                    <w:rPr>
                      <w:rFonts w:hint="eastAsia"/>
                      <w:sz w:val="20"/>
                      <w:szCs w:val="20"/>
                    </w:rPr>
                    <w:t>环境因素危险源识别与评价管理中明确重要环境因素危险源的评价方法并对环境因素的评价者进行教育培训和资格认定</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ascii="宋体" w:hAnsi="宋体" w:eastAsia="宋体" w:cs="宋体"/>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ascii="宋体" w:hAnsi="宋体" w:eastAsia="宋体" w:cs="宋体"/>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ascii="宋体" w:hAnsi="宋体" w:eastAsia="宋体" w:cs="宋体"/>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3124"/>
              <w:gridCol w:w="1345"/>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2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45"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68"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shd w:val="clear" w:color="auto" w:fill="auto"/>
                  <w:vAlign w:val="top"/>
                </w:tcPr>
                <w:p>
                  <w:pPr>
                    <w:pStyle w:val="23"/>
                    <w:numPr>
                      <w:numId w:val="0"/>
                    </w:numPr>
                    <w:ind w:leftChars="0"/>
                    <w:jc w:val="left"/>
                    <w:rPr>
                      <w:rFonts w:ascii="宋体" w:hAnsi="宋体" w:eastAsiaTheme="minorEastAsia" w:cstheme="minorBidi"/>
                      <w:kern w:val="2"/>
                      <w:sz w:val="18"/>
                      <w:szCs w:val="18"/>
                      <w:lang w:val="en-US" w:eastAsia="zh-CN" w:bidi="ar-SA"/>
                    </w:rPr>
                  </w:pPr>
                  <w:r>
                    <w:rPr>
                      <w:rFonts w:hint="eastAsia" w:ascii="宋体" w:hAnsi="宋体"/>
                      <w:sz w:val="18"/>
                      <w:szCs w:val="18"/>
                    </w:rPr>
                    <w:t>固体废弃物100%合理分类理；</w:t>
                  </w:r>
                </w:p>
              </w:tc>
              <w:tc>
                <w:tcPr>
                  <w:tcW w:w="3124" w:type="dxa"/>
                  <w:shd w:val="clear" w:color="auto" w:fill="auto"/>
                  <w:vAlign w:val="top"/>
                </w:tcPr>
                <w:p>
                  <w:pPr>
                    <w:pStyle w:val="23"/>
                    <w:numPr>
                      <w:numId w:val="0"/>
                    </w:numPr>
                    <w:ind w:leftChars="0"/>
                    <w:jc w:val="left"/>
                    <w:rPr>
                      <w:rFonts w:ascii="宋体" w:hAnsi="宋体" w:eastAsiaTheme="minorEastAsia" w:cstheme="minorBidi"/>
                      <w:kern w:val="2"/>
                      <w:sz w:val="18"/>
                      <w:szCs w:val="18"/>
                      <w:lang w:val="en-GB" w:eastAsia="zh-CN" w:bidi="ar-SA"/>
                    </w:rPr>
                  </w:pPr>
                  <w:r>
                    <w:rPr>
                      <w:rFonts w:hint="eastAsia" w:ascii="宋体" w:hAnsi="宋体"/>
                      <w:sz w:val="18"/>
                      <w:szCs w:val="18"/>
                    </w:rPr>
                    <w:t>已分类固体废物÷需分类固体废物x100%</w:t>
                  </w:r>
                </w:p>
              </w:tc>
              <w:tc>
                <w:tcPr>
                  <w:tcW w:w="1345" w:type="dxa"/>
                  <w:shd w:val="clear" w:color="auto" w:fill="auto"/>
                  <w:vAlign w:val="center"/>
                </w:tcPr>
                <w:p>
                  <w:pPr>
                    <w:pStyle w:val="23"/>
                    <w:numPr>
                      <w:ilvl w:val="0"/>
                      <w:numId w:val="0"/>
                    </w:numPr>
                    <w:ind w:leftChars="0"/>
                    <w:jc w:val="left"/>
                    <w:rPr>
                      <w:rFonts w:ascii="宋体" w:hAnsi="宋体" w:eastAsiaTheme="minorEastAsia" w:cstheme="minorBidi"/>
                      <w:kern w:val="2"/>
                      <w:sz w:val="18"/>
                      <w:szCs w:val="18"/>
                      <w:lang w:val="en-GB" w:eastAsia="zh-CN" w:bidi="ar-SA"/>
                    </w:rPr>
                  </w:pPr>
                  <w:r>
                    <w:rPr>
                      <w:rFonts w:ascii="宋体" w:hAnsi="宋体" w:eastAsiaTheme="minorEastAsia" w:cstheme="minorBidi"/>
                      <w:kern w:val="2"/>
                      <w:sz w:val="18"/>
                      <w:szCs w:val="18"/>
                      <w:lang w:val="en-US" w:eastAsia="zh-CN" w:bidi="ar-SA"/>
                    </w:rPr>
                    <w:t>行政部</w:t>
                  </w:r>
                </w:p>
              </w:tc>
              <w:tc>
                <w:tcPr>
                  <w:tcW w:w="1768" w:type="dxa"/>
                  <w:shd w:val="clear" w:color="auto" w:fill="auto"/>
                  <w:vAlign w:val="top"/>
                </w:tcPr>
                <w:p>
                  <w:pPr>
                    <w:pStyle w:val="23"/>
                    <w:jc w:val="left"/>
                    <w:rPr>
                      <w:rFonts w:ascii="宋体" w:hAnsi="宋体" w:eastAsiaTheme="minorEastAsia" w:cstheme="minorBidi"/>
                      <w:kern w:val="2"/>
                      <w:sz w:val="18"/>
                      <w:szCs w:val="18"/>
                      <w:lang w:val="en-GB"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sz w:val="18"/>
                      <w:szCs w:val="18"/>
                    </w:rPr>
                    <w:t>火灾事故发生率为零。</w:t>
                  </w:r>
                </w:p>
              </w:tc>
              <w:tc>
                <w:tcPr>
                  <w:tcW w:w="3124"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sz w:val="18"/>
                      <w:szCs w:val="18"/>
                    </w:rPr>
                    <w:t>统计火灾事故发生次数</w:t>
                  </w:r>
                </w:p>
              </w:tc>
              <w:tc>
                <w:tcPr>
                  <w:tcW w:w="1345" w:type="dxa"/>
                  <w:shd w:val="clear" w:color="auto" w:fill="auto"/>
                  <w:vAlign w:val="center"/>
                </w:tcPr>
                <w:p>
                  <w:pPr>
                    <w:pStyle w:val="23"/>
                    <w:numPr>
                      <w:ilvl w:val="0"/>
                      <w:numId w:val="0"/>
                    </w:numPr>
                    <w:ind w:leftChars="0"/>
                    <w:jc w:val="left"/>
                    <w:rPr>
                      <w:rFonts w:ascii="宋体" w:hAnsi="宋体" w:eastAsiaTheme="minorEastAsia" w:cstheme="minorBidi"/>
                      <w:kern w:val="2"/>
                      <w:sz w:val="18"/>
                      <w:szCs w:val="18"/>
                      <w:lang w:val="en-US" w:eastAsia="zh-CN" w:bidi="ar-SA"/>
                    </w:rPr>
                  </w:pPr>
                  <w:r>
                    <w:rPr>
                      <w:rFonts w:hint="eastAsia" w:ascii="宋体" w:hAnsi="宋体" w:eastAsiaTheme="minorEastAsia" w:cstheme="minorBidi"/>
                      <w:kern w:val="2"/>
                      <w:sz w:val="18"/>
                      <w:szCs w:val="18"/>
                      <w:lang w:val="en-US" w:eastAsia="zh-CN" w:bidi="ar-SA"/>
                    </w:rPr>
                    <w:t>行政部</w:t>
                  </w:r>
                </w:p>
              </w:tc>
              <w:tc>
                <w:tcPr>
                  <w:tcW w:w="1768"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shd w:val="clear" w:color="auto" w:fill="auto"/>
                  <w:vAlign w:val="top"/>
                </w:tcPr>
                <w:p>
                  <w:pPr>
                    <w:pStyle w:val="23"/>
                    <w:numPr>
                      <w:numId w:val="0"/>
                    </w:numPr>
                    <w:ind w:leftChars="0"/>
                    <w:jc w:val="left"/>
                    <w:rPr>
                      <w:rFonts w:ascii="宋体" w:hAnsi="宋体" w:eastAsiaTheme="minorEastAsia" w:cstheme="minorBidi"/>
                      <w:kern w:val="2"/>
                      <w:sz w:val="18"/>
                      <w:szCs w:val="18"/>
                      <w:lang w:val="en-US" w:eastAsia="zh-CN" w:bidi="ar-SA"/>
                    </w:rPr>
                  </w:pPr>
                </w:p>
              </w:tc>
              <w:tc>
                <w:tcPr>
                  <w:tcW w:w="3124" w:type="dxa"/>
                  <w:shd w:val="clear" w:color="auto" w:fill="auto"/>
                  <w:vAlign w:val="top"/>
                </w:tcPr>
                <w:p>
                  <w:pPr>
                    <w:pStyle w:val="23"/>
                    <w:numPr>
                      <w:numId w:val="0"/>
                    </w:numPr>
                    <w:ind w:leftChars="0"/>
                    <w:jc w:val="left"/>
                    <w:rPr>
                      <w:rFonts w:ascii="宋体" w:hAnsi="宋体" w:eastAsiaTheme="minorEastAsia" w:cstheme="minorBidi"/>
                      <w:kern w:val="2"/>
                      <w:sz w:val="18"/>
                      <w:szCs w:val="18"/>
                      <w:lang w:val="en-US" w:eastAsia="zh-CN" w:bidi="ar-SA"/>
                    </w:rPr>
                  </w:pPr>
                </w:p>
              </w:tc>
              <w:tc>
                <w:tcPr>
                  <w:tcW w:w="1345" w:type="dxa"/>
                  <w:shd w:val="clear" w:color="auto" w:fill="auto"/>
                  <w:vAlign w:val="center"/>
                </w:tcPr>
                <w:p>
                  <w:pPr>
                    <w:pStyle w:val="23"/>
                    <w:numPr>
                      <w:ilvl w:val="0"/>
                      <w:numId w:val="0"/>
                    </w:numPr>
                    <w:ind w:leftChars="0"/>
                    <w:jc w:val="left"/>
                    <w:rPr>
                      <w:rFonts w:ascii="宋体" w:hAnsi="宋体" w:eastAsiaTheme="minorEastAsia" w:cstheme="minorBidi"/>
                      <w:kern w:val="2"/>
                      <w:sz w:val="18"/>
                      <w:szCs w:val="18"/>
                      <w:lang w:val="en-US" w:eastAsia="zh-CN" w:bidi="ar-SA"/>
                    </w:rPr>
                  </w:pPr>
                </w:p>
              </w:tc>
              <w:tc>
                <w:tcPr>
                  <w:tcW w:w="1768" w:type="dxa"/>
                  <w:shd w:val="clear" w:color="auto" w:fill="auto"/>
                  <w:vAlign w:val="top"/>
                </w:tcPr>
                <w:p>
                  <w:pPr>
                    <w:pStyle w:val="23"/>
                    <w:jc w:val="left"/>
                    <w:rPr>
                      <w:rFonts w:ascii="宋体" w:hAnsi="宋体" w:eastAsiaTheme="minorEastAsia" w:cstheme="minorBidi"/>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shd w:val="clear" w:color="auto" w:fill="auto"/>
                  <w:vAlign w:val="top"/>
                </w:tcPr>
                <w:p>
                  <w:pPr>
                    <w:pStyle w:val="23"/>
                    <w:numPr>
                      <w:numId w:val="0"/>
                    </w:numPr>
                    <w:ind w:leftChars="0"/>
                    <w:jc w:val="left"/>
                    <w:rPr>
                      <w:rFonts w:ascii="宋体" w:hAnsi="宋体" w:eastAsiaTheme="minorEastAsia" w:cstheme="minorBidi"/>
                      <w:kern w:val="2"/>
                      <w:sz w:val="18"/>
                      <w:szCs w:val="18"/>
                      <w:lang w:val="en-US" w:eastAsia="zh-CN" w:bidi="ar-SA"/>
                    </w:rPr>
                  </w:pPr>
                </w:p>
              </w:tc>
              <w:tc>
                <w:tcPr>
                  <w:tcW w:w="3124" w:type="dxa"/>
                  <w:shd w:val="clear" w:color="auto" w:fill="auto"/>
                  <w:vAlign w:val="top"/>
                </w:tcPr>
                <w:p>
                  <w:pPr>
                    <w:pStyle w:val="23"/>
                    <w:numPr>
                      <w:numId w:val="0"/>
                    </w:numPr>
                    <w:ind w:leftChars="0"/>
                    <w:jc w:val="left"/>
                    <w:rPr>
                      <w:rFonts w:ascii="宋体" w:hAnsi="宋体" w:eastAsiaTheme="minorEastAsia" w:cstheme="minorBidi"/>
                      <w:kern w:val="2"/>
                      <w:sz w:val="18"/>
                      <w:szCs w:val="18"/>
                      <w:lang w:val="en-US" w:eastAsia="zh-CN" w:bidi="ar-SA"/>
                    </w:rPr>
                  </w:pPr>
                </w:p>
              </w:tc>
              <w:tc>
                <w:tcPr>
                  <w:tcW w:w="1345" w:type="dxa"/>
                  <w:shd w:val="clear" w:color="auto" w:fill="auto"/>
                  <w:vAlign w:val="center"/>
                </w:tcPr>
                <w:p>
                  <w:pPr>
                    <w:pStyle w:val="23"/>
                    <w:numPr>
                      <w:ilvl w:val="0"/>
                      <w:numId w:val="0"/>
                    </w:numPr>
                    <w:ind w:leftChars="0"/>
                    <w:jc w:val="left"/>
                    <w:rPr>
                      <w:rFonts w:ascii="宋体" w:hAnsi="宋体" w:eastAsiaTheme="minorEastAsia" w:cstheme="minorBidi"/>
                      <w:kern w:val="2"/>
                      <w:sz w:val="18"/>
                      <w:szCs w:val="18"/>
                      <w:lang w:val="en-US" w:eastAsia="zh-CN" w:bidi="ar-SA"/>
                    </w:rPr>
                  </w:pPr>
                </w:p>
              </w:tc>
              <w:tc>
                <w:tcPr>
                  <w:tcW w:w="1768" w:type="dxa"/>
                  <w:shd w:val="clear" w:color="auto" w:fill="auto"/>
                  <w:vAlign w:val="top"/>
                </w:tcPr>
                <w:p>
                  <w:pPr>
                    <w:pStyle w:val="23"/>
                    <w:jc w:val="left"/>
                    <w:rPr>
                      <w:rFonts w:ascii="宋体" w:hAnsi="宋体" w:eastAsiaTheme="minorEastAsia" w:cstheme="minorBidi"/>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shd w:val="clear" w:color="auto" w:fill="auto"/>
                  <w:vAlign w:val="top"/>
                </w:tcPr>
                <w:p>
                  <w:pPr>
                    <w:pStyle w:val="23"/>
                    <w:numPr>
                      <w:numId w:val="0"/>
                    </w:numPr>
                    <w:ind w:leftChars="0"/>
                    <w:jc w:val="left"/>
                    <w:rPr>
                      <w:rFonts w:ascii="宋体" w:hAnsi="宋体" w:eastAsiaTheme="minorEastAsia" w:cstheme="minorBidi"/>
                      <w:kern w:val="2"/>
                      <w:sz w:val="18"/>
                      <w:szCs w:val="18"/>
                      <w:lang w:val="en-US" w:eastAsia="zh-CN" w:bidi="ar-SA"/>
                    </w:rPr>
                  </w:pPr>
                </w:p>
              </w:tc>
              <w:tc>
                <w:tcPr>
                  <w:tcW w:w="3124" w:type="dxa"/>
                  <w:shd w:val="clear" w:color="auto" w:fill="auto"/>
                  <w:vAlign w:val="top"/>
                </w:tcPr>
                <w:p>
                  <w:pPr>
                    <w:pStyle w:val="23"/>
                    <w:numPr>
                      <w:numId w:val="0"/>
                    </w:numPr>
                    <w:ind w:leftChars="0"/>
                    <w:jc w:val="left"/>
                    <w:rPr>
                      <w:rFonts w:ascii="宋体" w:hAnsi="宋体" w:eastAsiaTheme="minorEastAsia" w:cstheme="minorBidi"/>
                      <w:kern w:val="2"/>
                      <w:sz w:val="18"/>
                      <w:szCs w:val="18"/>
                      <w:lang w:val="en-US" w:eastAsia="zh-CN" w:bidi="ar-SA"/>
                    </w:rPr>
                  </w:pPr>
                </w:p>
              </w:tc>
              <w:tc>
                <w:tcPr>
                  <w:tcW w:w="1345" w:type="dxa"/>
                  <w:shd w:val="clear" w:color="auto" w:fill="auto"/>
                  <w:vAlign w:val="center"/>
                </w:tcPr>
                <w:p>
                  <w:pPr>
                    <w:pStyle w:val="23"/>
                    <w:numPr>
                      <w:ilvl w:val="0"/>
                      <w:numId w:val="0"/>
                    </w:numPr>
                    <w:ind w:leftChars="0"/>
                    <w:jc w:val="left"/>
                    <w:rPr>
                      <w:rFonts w:ascii="宋体" w:hAnsi="宋体" w:eastAsiaTheme="minorEastAsia" w:cstheme="minorBidi"/>
                      <w:kern w:val="2"/>
                      <w:sz w:val="18"/>
                      <w:szCs w:val="18"/>
                      <w:lang w:val="en-US" w:eastAsia="zh-CN" w:bidi="ar-SA"/>
                    </w:rPr>
                  </w:pPr>
                </w:p>
              </w:tc>
              <w:tc>
                <w:tcPr>
                  <w:tcW w:w="1768" w:type="dxa"/>
                  <w:shd w:val="clear" w:color="auto" w:fill="auto"/>
                  <w:vAlign w:val="top"/>
                </w:tcPr>
                <w:p>
                  <w:pPr>
                    <w:pStyle w:val="23"/>
                    <w:jc w:val="left"/>
                    <w:rPr>
                      <w:rFonts w:ascii="宋体" w:hAnsi="宋体" w:eastAsiaTheme="minorEastAsia" w:cstheme="minorBidi"/>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ascii="Times New Roman" w:hAnsi="Times New Roman" w:eastAsia="宋体" w:cs="Times New Roman"/>
                      <w:kern w:val="2"/>
                      <w:sz w:val="21"/>
                      <w:szCs w:val="24"/>
                      <w:lang w:val="en-US" w:eastAsia="zh-CN" w:bidi="ar-SA"/>
                    </w:rPr>
                  </w:pPr>
                </w:p>
              </w:tc>
              <w:tc>
                <w:tcPr>
                  <w:tcW w:w="0" w:type="auto"/>
                  <w:vAlign w:val="top"/>
                </w:tcPr>
                <w:p>
                  <w:pPr>
                    <w:rPr>
                      <w:rFonts w:ascii="Times New Roman" w:hAnsi="Times New Roman" w:eastAsia="宋体" w:cs="Times New Roman"/>
                      <w:kern w:val="2"/>
                      <w:sz w:val="21"/>
                      <w:szCs w:val="24"/>
                      <w:lang w:val="en-US" w:eastAsia="zh-CN" w:bidi="ar-SA"/>
                    </w:rPr>
                  </w:pPr>
                </w:p>
              </w:tc>
              <w:tc>
                <w:tcPr>
                  <w:tcW w:w="0" w:type="auto"/>
                  <w:vAlign w:val="center"/>
                </w:tcPr>
                <w:p>
                  <w:pPr>
                    <w:pStyle w:val="23"/>
                    <w:numPr>
                      <w:ilvl w:val="0"/>
                      <w:numId w:val="0"/>
                    </w:numPr>
                    <w:ind w:leftChars="0"/>
                    <w:jc w:val="left"/>
                    <w:rPr>
                      <w:rFonts w:ascii="宋体" w:hAnsi="宋体" w:eastAsiaTheme="minorEastAsia" w:cstheme="minorBidi"/>
                      <w:kern w:val="2"/>
                      <w:sz w:val="18"/>
                      <w:szCs w:val="18"/>
                      <w:lang w:val="en-US" w:eastAsia="zh-CN" w:bidi="ar-SA"/>
                    </w:rPr>
                  </w:pPr>
                </w:p>
              </w:tc>
              <w:tc>
                <w:tcPr>
                  <w:tcW w:w="0" w:type="auto"/>
                  <w:vAlign w:val="top"/>
                </w:tcPr>
                <w:p>
                  <w:pPr>
                    <w:rPr>
                      <w:rFonts w:ascii="Times New Roman" w:hAnsi="Times New Roman" w:eastAsia="宋体" w:cs="Times New Roman"/>
                      <w:kern w:val="2"/>
                      <w:sz w:val="21"/>
                      <w:szCs w:val="24"/>
                      <w:lang w:val="en-US" w:eastAsia="zh-CN" w:bidi="ar-SA"/>
                    </w:rPr>
                  </w:pPr>
                </w:p>
              </w:tc>
            </w:tr>
          </w:tbl>
          <w:p>
            <w:pPr>
              <w:shd w:val="clear" w:color="auto" w:fill="EBF1DE" w:themeFill="accent3" w:themeFillTint="32"/>
            </w:pPr>
            <w:r>
              <w:rPr>
                <w:rFonts w:hint="eastAsia" w:ascii="宋体" w:hAnsi="宋体" w:eastAsia="宋体" w:cs="宋体"/>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组织的资源状况：■人力资源 ■自然资源 ■基础设施  </w:t>
            </w:r>
            <w:r>
              <w:rPr>
                <w:rFonts w:ascii="Wingdings" w:hAnsi="Wingdings"/>
              </w:rPr>
              <w:t>□</w:t>
            </w:r>
            <w:r>
              <w:rPr>
                <w:rFonts w:hint="eastAsia"/>
              </w:rPr>
              <w:t>技术  ■财务资源。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100    </w:t>
            </w:r>
            <w:r>
              <w:rPr>
                <w:rFonts w:hint="eastAsia"/>
              </w:rPr>
              <w:t>平方米；生产车间</w:t>
            </w:r>
            <w:r>
              <w:rPr>
                <w:rFonts w:hint="eastAsia"/>
                <w:u w:val="single"/>
              </w:rPr>
              <w:t xml:space="preserve"> 0  </w:t>
            </w:r>
            <w:r>
              <w:rPr>
                <w:rFonts w:hint="eastAsia"/>
              </w:rPr>
              <w:t>个；库房</w:t>
            </w:r>
            <w:r>
              <w:rPr>
                <w:rFonts w:hint="eastAsia"/>
                <w:u w:val="single"/>
              </w:rPr>
              <w:t xml:space="preserve">  0  </w:t>
            </w:r>
            <w:r>
              <w:rPr>
                <w:rFonts w:hint="eastAsia"/>
              </w:rPr>
              <w:t>个；实验室</w:t>
            </w:r>
            <w:r>
              <w:rPr>
                <w:rFonts w:hint="eastAsia"/>
                <w:u w:val="single"/>
              </w:rPr>
              <w:t xml:space="preserve"> 0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电脑、打印机、WiFi、文件柜       （列举2~4种）</w:t>
            </w:r>
          </w:p>
          <w:p>
            <w:pPr>
              <w:shd w:val="clear" w:color="auto" w:fill="EBF1DE" w:themeFill="accent3" w:themeFillTint="32"/>
              <w:rPr>
                <w:u w:val="single"/>
              </w:rPr>
            </w:pPr>
            <w:r>
              <w:rPr>
                <w:rFonts w:hint="eastAsia"/>
              </w:rPr>
              <w:t>主要环保设备有：</w:t>
            </w:r>
            <w:r>
              <w:rPr>
                <w:rFonts w:hint="eastAsia"/>
                <w:u w:val="single"/>
              </w:rPr>
              <w:t xml:space="preserve">                                  （列举2~4种）</w:t>
            </w:r>
          </w:p>
          <w:p>
            <w:pPr>
              <w:shd w:val="clear" w:color="auto" w:fill="EBF1DE" w:themeFill="accent3" w:themeFillTint="32"/>
            </w:pPr>
            <w:r>
              <w:rPr>
                <w:rFonts w:hint="eastAsia"/>
              </w:rPr>
              <w:t>特种设备：</w:t>
            </w:r>
            <w:r>
              <w:rPr>
                <w:rFonts w:ascii="Wingdings" w:hAnsi="Wingdings"/>
              </w:rPr>
              <w:t>□</w:t>
            </w:r>
            <w:r>
              <w:rPr>
                <w:rFonts w:hint="eastAsia"/>
              </w:rPr>
              <w:t xml:space="preserve">叉车 </w:t>
            </w:r>
            <w:r>
              <w:rPr>
                <w:rFonts w:ascii="Wingdings" w:hAnsi="Wingdings"/>
              </w:rPr>
              <w:t>□</w:t>
            </w:r>
            <w:r>
              <w:rPr>
                <w:rFonts w:hint="eastAsia"/>
              </w:rPr>
              <w:t xml:space="preserve">行车 </w:t>
            </w:r>
            <w:r>
              <w:rPr>
                <w:rFonts w:ascii="Wingdings" w:hAnsi="Wingdings"/>
              </w:rPr>
              <w:t>□</w:t>
            </w:r>
            <w:r>
              <w:rPr>
                <w:rFonts w:hint="eastAsia"/>
              </w:rPr>
              <w:t xml:space="preserve">锅炉 </w:t>
            </w:r>
            <w:r>
              <w:rPr>
                <w:rFonts w:ascii="Wingdings" w:hAnsi="Wingdings"/>
              </w:rPr>
              <w:t>□</w:t>
            </w:r>
            <w:r>
              <w:rPr>
                <w:rFonts w:hint="eastAsia"/>
              </w:rPr>
              <w:t xml:space="preserve">电梯  </w:t>
            </w:r>
            <w:r>
              <w:rPr>
                <w:rFonts w:ascii="Wingdings" w:hAnsi="Wingdings"/>
              </w:rPr>
              <w:t>□</w:t>
            </w:r>
            <w:r>
              <w:rPr>
                <w:rFonts w:hint="eastAsia"/>
              </w:rPr>
              <w:t xml:space="preserve">压力容器  </w:t>
            </w:r>
            <w:r>
              <w:rPr>
                <w:rFonts w:ascii="Wingdings" w:hAnsi="Wingdings"/>
              </w:rPr>
              <w:t>□</w:t>
            </w:r>
            <w:r>
              <w:rPr>
                <w:rFonts w:hint="eastAsia"/>
              </w:rPr>
              <w:t xml:space="preserve">压力管道  ■不适用 </w:t>
            </w:r>
          </w:p>
          <w:p>
            <w:pPr>
              <w:shd w:val="clear" w:color="auto" w:fill="EBF1DE" w:themeFill="accent3" w:themeFillTint="32"/>
            </w:pPr>
            <w:r>
              <w:rPr>
                <w:rFonts w:hint="eastAsia"/>
              </w:rPr>
              <w:t>辅助场所：</w:t>
            </w:r>
            <w:r>
              <w:rPr>
                <w:rFonts w:ascii="Wingdings" w:hAnsi="Wingdings"/>
              </w:rPr>
              <w:t>□</w:t>
            </w:r>
            <w:r>
              <w:rPr>
                <w:rFonts w:hint="eastAsia"/>
              </w:rPr>
              <w:t xml:space="preserve">高压配电室 </w:t>
            </w:r>
            <w:r>
              <w:rPr>
                <w:rFonts w:ascii="Wingdings" w:hAnsi="Wingdings"/>
              </w:rPr>
              <w:t>□</w:t>
            </w:r>
            <w:r>
              <w:rPr>
                <w:rFonts w:hint="eastAsia"/>
              </w:rPr>
              <w:t xml:space="preserve">低压配电室 </w:t>
            </w:r>
            <w:r>
              <w:rPr>
                <w:rFonts w:ascii="Wingdings" w:hAnsi="Wingdings"/>
              </w:rPr>
              <w:t>□</w:t>
            </w:r>
            <w:r>
              <w:rPr>
                <w:rFonts w:hint="eastAsia"/>
              </w:rPr>
              <w:t xml:space="preserve">空压站 </w:t>
            </w:r>
            <w:r>
              <w:rPr>
                <w:rFonts w:ascii="Wingdings" w:hAnsi="Wingdings"/>
              </w:rPr>
              <w:t>□</w:t>
            </w:r>
            <w:r>
              <w:rPr>
                <w:rFonts w:hint="eastAsia"/>
              </w:rPr>
              <w:t xml:space="preserve">锅炉房 </w:t>
            </w:r>
            <w:r>
              <w:rPr>
                <w:rFonts w:ascii="Wingdings" w:hAnsi="Wingdings"/>
              </w:rPr>
              <w:t>□</w:t>
            </w:r>
            <w:r>
              <w:rPr>
                <w:rFonts w:hint="eastAsia"/>
              </w:rPr>
              <w:t xml:space="preserve">食堂  </w:t>
            </w:r>
            <w:r>
              <w:rPr>
                <w:rFonts w:ascii="Wingdings" w:hAnsi="Wingdings"/>
              </w:rPr>
              <w:t>□</w:t>
            </w:r>
            <w:r>
              <w:rPr>
                <w:rFonts w:hint="eastAsia"/>
              </w:rPr>
              <w:t xml:space="preserve">危化品库  </w:t>
            </w:r>
          </w:p>
          <w:p>
            <w:pPr>
              <w:shd w:val="clear" w:color="auto" w:fill="EBF1DE" w:themeFill="accent3" w:themeFillTint="32"/>
              <w:ind w:firstLine="1050" w:firstLineChars="500"/>
            </w:pPr>
            <w:r>
              <w:rPr>
                <w:rFonts w:ascii="Wingdings" w:hAnsi="Wingdings"/>
              </w:rPr>
              <w:t>□</w:t>
            </w:r>
            <w:r>
              <w:rPr>
                <w:rFonts w:hint="eastAsia"/>
              </w:rPr>
              <w:t xml:space="preserve">危废库  </w:t>
            </w:r>
            <w:r>
              <w:rPr>
                <w:rFonts w:ascii="Wingdings" w:hAnsi="Wingdings"/>
              </w:rPr>
              <w:t>□</w:t>
            </w:r>
            <w:r>
              <w:rPr>
                <w:rFonts w:hint="eastAsia"/>
              </w:rPr>
              <w:t xml:space="preserve">建筑施工 </w:t>
            </w:r>
            <w:r>
              <w:rPr>
                <w:rFonts w:ascii="Wingdings" w:hAnsi="Wingdings"/>
              </w:rPr>
              <w:t>□</w:t>
            </w:r>
            <w:r>
              <w:rPr>
                <w:rFonts w:hint="eastAsia"/>
              </w:rPr>
              <w:t xml:space="preserve">污水处理站  </w:t>
            </w:r>
            <w:r>
              <w:rPr>
                <w:rFonts w:ascii="Wingdings" w:hAnsi="Wingdings"/>
              </w:rPr>
              <w:t>□</w:t>
            </w:r>
            <w:r>
              <w:rPr>
                <w:rFonts w:hint="eastAsia"/>
              </w:rPr>
              <w:t>其他 无</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 xml:space="preserve">方法：  </w:t>
            </w:r>
            <w:r>
              <w:rPr>
                <w:rFonts w:ascii="Wingdings" w:hAnsi="Wingdings"/>
              </w:rPr>
              <w:t>□</w:t>
            </w:r>
            <w:r>
              <w:rPr>
                <w:rFonts w:hint="eastAsia"/>
              </w:rPr>
              <w:t xml:space="preserve">自校   </w:t>
            </w:r>
            <w:r>
              <w:rPr>
                <w:rFonts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无           （列举1~4种）</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计量器具管理：</w:t>
            </w:r>
            <w:r>
              <w:rPr>
                <w:rFonts w:ascii="Wingdings" w:hAnsi="Wingdings"/>
              </w:rPr>
              <w:t>□</w:t>
            </w:r>
            <w:r>
              <w:rPr>
                <w:rFonts w:hint="eastAsia"/>
              </w:rPr>
              <w:t xml:space="preserve">进行了定期校准/检定  </w:t>
            </w:r>
            <w:r>
              <w:rPr>
                <w:rFonts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■招聘 </w:t>
            </w:r>
            <w:r>
              <w:rPr>
                <w:rFonts w:ascii="Wingdings" w:hAnsi="Wingdings"/>
              </w:rPr>
              <w:t>□</w:t>
            </w:r>
            <w:r>
              <w:rPr>
                <w:rFonts w:hint="eastAsia"/>
              </w:rPr>
              <w:t xml:space="preserve">换岗  ■培训  ■考核   ■辅导  </w:t>
            </w:r>
            <w:r>
              <w:rPr>
                <w:rFonts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ascii="Wingdings" w:hAnsi="Wingdings"/>
              </w:rPr>
              <w:t>□</w:t>
            </w:r>
            <w:r>
              <w:rPr>
                <w:rFonts w:hint="eastAsia"/>
              </w:rPr>
              <w:t xml:space="preserve">电工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其他  无</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ascii="Wingdings" w:hAnsi="Wingdings"/>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其他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 xml:space="preserve">内部沟通方式：■文件发放 ■会议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外部沟通方式：■宣传材料 ■网站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■工艺流程图 ■作业文件  </w:t>
            </w:r>
            <w:r>
              <w:rPr>
                <w:rFonts w:ascii="Wingdings" w:hAnsi="Wingdings"/>
              </w:rPr>
              <w:t>□</w:t>
            </w:r>
            <w:r>
              <w:rPr>
                <w:rFonts w:hint="eastAsia"/>
              </w:rPr>
              <w:t xml:space="preserve">MSDS   ■接收准则  </w:t>
            </w:r>
            <w:r>
              <w:rPr>
                <w:rFonts w:ascii="Wingdings" w:hAnsi="Wingdings"/>
              </w:rPr>
              <w:t>□</w:t>
            </w:r>
            <w:r>
              <w:rPr>
                <w:rFonts w:hint="eastAsia"/>
              </w:rPr>
              <w:t xml:space="preserve">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顾客的环境要求为：  </w:t>
            </w:r>
            <w:r>
              <w:rPr>
                <w:rFonts w:ascii="Wingdings" w:hAnsi="Wingdings"/>
              </w:rPr>
              <w:t>□</w:t>
            </w:r>
            <w:r>
              <w:rPr>
                <w:rFonts w:hint="eastAsia"/>
              </w:rPr>
              <w:t xml:space="preserve">Rohs  </w:t>
            </w:r>
            <w:r>
              <w:rPr>
                <w:rFonts w:ascii="Wingdings" w:hAnsi="Wingdings"/>
              </w:rPr>
              <w:t>□</w:t>
            </w:r>
            <w:r>
              <w:rPr>
                <w:rFonts w:hint="eastAsia"/>
              </w:rPr>
              <w:t xml:space="preserve">MSDS  ■EMS认证证书  </w:t>
            </w:r>
            <w:r>
              <w:rPr>
                <w:rFonts w:ascii="Wingdings" w:hAnsi="Wingdings"/>
              </w:rPr>
              <w:t>□</w:t>
            </w:r>
            <w:r>
              <w:rPr>
                <w:rFonts w:hint="eastAsia"/>
              </w:rPr>
              <w:t xml:space="preserve">特殊包装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 xml:space="preserve">外部提供包括：■原材料采购 </w:t>
            </w:r>
            <w:r>
              <w:rPr>
                <w:rFonts w:ascii="Wingdings" w:hAnsi="Wingdings"/>
              </w:rPr>
              <w:t>□</w:t>
            </w:r>
            <w:r>
              <w:rPr>
                <w:rFonts w:hint="eastAsia"/>
              </w:rPr>
              <w:t xml:space="preserve">委托加工  </w:t>
            </w:r>
            <w:r>
              <w:rPr>
                <w:rFonts w:ascii="Wingdings" w:hAnsi="Wingdings"/>
              </w:rPr>
              <w:t>□</w:t>
            </w:r>
            <w:r>
              <w:rPr>
                <w:rFonts w:hint="eastAsia"/>
              </w:rPr>
              <w:t xml:space="preserve">施工 </w:t>
            </w:r>
            <w:r>
              <w:rPr>
                <w:rFonts w:ascii="Wingdings" w:hAnsi="Wingdings"/>
              </w:rPr>
              <w:t>□</w:t>
            </w:r>
            <w:r>
              <w:rPr>
                <w:rFonts w:hint="eastAsia"/>
              </w:rPr>
              <w:t xml:space="preserve">设备维保  </w:t>
            </w:r>
            <w:r>
              <w:rPr>
                <w:rFonts w:ascii="Wingdings" w:hAnsi="Wingdings"/>
              </w:rPr>
              <w:t>□</w:t>
            </w:r>
            <w:r>
              <w:rPr>
                <w:rFonts w:hint="eastAsia"/>
              </w:rPr>
              <w:t xml:space="preserve">运输  </w:t>
            </w:r>
            <w:r>
              <w:rPr>
                <w:rFonts w:ascii="Wingdings" w:hAnsi="Wingdings"/>
              </w:rPr>
              <w:t>□</w:t>
            </w:r>
            <w:r>
              <w:rPr>
                <w:rFonts w:hint="eastAsia"/>
              </w:rPr>
              <w:t>其他</w:t>
            </w:r>
          </w:p>
          <w:p>
            <w:pPr>
              <w:shd w:val="clear" w:color="auto" w:fill="EBF1DE" w:themeFill="accent3" w:themeFillTint="32"/>
              <w:jc w:val="left"/>
            </w:pPr>
            <w:r>
              <w:rPr>
                <w:rFonts w:hint="eastAsia"/>
              </w:rPr>
              <w:t xml:space="preserve">控制方式：■合同约定 ■危害告知  ■现场检查 </w:t>
            </w:r>
            <w:r>
              <w:rPr>
                <w:rFonts w:ascii="Wingdings" w:hAnsi="Wingdings"/>
              </w:rPr>
              <w:t>□</w:t>
            </w:r>
            <w:r>
              <w:rPr>
                <w:rFonts w:hint="eastAsia"/>
              </w:rPr>
              <w:t xml:space="preserve">专人跟踪  ■出入控制  </w:t>
            </w:r>
            <w:r>
              <w:rPr>
                <w:rFonts w:ascii="Wingdings" w:hAnsi="Wingdings"/>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ascii="Wingdings" w:hAnsi="Wingdings"/>
              </w:rPr>
              <w:t>□</w:t>
            </w:r>
            <w:r>
              <w:rPr>
                <w:rFonts w:hint="eastAsia"/>
              </w:rPr>
              <w:t>符合要求 ■存在不足，说明</w:t>
            </w:r>
            <w:r>
              <w:rPr>
                <w:rFonts w:hint="eastAsia"/>
                <w:u w:val="single"/>
              </w:rPr>
              <w:t xml:space="preserve">  </w:t>
            </w:r>
            <w:r>
              <w:rPr>
                <w:rFonts w:hint="eastAsia" w:ascii="Arial" w:hAnsi="Arial" w:cs="Arial"/>
                <w:szCs w:val="21"/>
                <w:lang w:val="de-DE"/>
              </w:rPr>
              <w:t>审核时发现公司未能提供对窗帘供方天津市欧亿窗饰销售有限公司进行调查评价和施加影响的证据，不符合文件和标准要求</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r>
                    <w:t>节约水电</w:t>
                  </w:r>
                </w:p>
              </w:tc>
              <w:tc>
                <w:tcPr>
                  <w:tcW w:w="3265" w:type="dxa"/>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t>节约用纸和包装物</w:t>
                  </w:r>
                </w:p>
              </w:tc>
              <w:tc>
                <w:tcPr>
                  <w:tcW w:w="3265" w:type="dxa"/>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t>排入市政管道</w:t>
                  </w:r>
                </w:p>
              </w:tc>
              <w:tc>
                <w:tcPr>
                  <w:tcW w:w="3265" w:type="dxa"/>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t>分类收集处理</w:t>
                  </w:r>
                </w:p>
              </w:tc>
              <w:tc>
                <w:tcPr>
                  <w:tcW w:w="3265" w:type="dxa"/>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t>应急预案</w:t>
                  </w:r>
                  <w:r>
                    <w:rPr>
                      <w:rFonts w:hint="eastAsia"/>
                    </w:rPr>
                    <w:t>、</w:t>
                  </w:r>
                  <w:r>
                    <w:t>消防器材</w:t>
                  </w:r>
                </w:p>
              </w:tc>
              <w:tc>
                <w:tcPr>
                  <w:tcW w:w="3265" w:type="dxa"/>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 xml:space="preserve">对生产和服务提供过程的环境因素控制■符合要求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组织对产品和服务交付后活动的要求。 </w:t>
            </w:r>
            <w:r>
              <w:rPr>
                <w:rFonts w:ascii="Wingdings" w:hAnsi="Wingdings"/>
              </w:rPr>
              <w:t>□</w:t>
            </w:r>
            <w:r>
              <w:rPr>
                <w:rFonts w:hint="eastAsia"/>
              </w:rPr>
              <w:t xml:space="preserve">废物回收■最终处置 </w:t>
            </w:r>
            <w:r>
              <w:rPr>
                <w:rFonts w:ascii="Wingdings" w:hAnsi="Wingdings"/>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无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t xml:space="preserve">■火灾控制 </w:t>
            </w:r>
            <w:r>
              <w:rPr>
                <w:rFonts w:ascii="Wingdings" w:hAnsi="Wingdings"/>
              </w:rPr>
              <w:t>□</w:t>
            </w:r>
            <w:r>
              <w:rPr>
                <w:rFonts w:hint="eastAsia"/>
              </w:rPr>
              <w:t xml:space="preserve">危化品泄露 </w:t>
            </w:r>
            <w:r>
              <w:rPr>
                <w:rFonts w:ascii="Wingdings" w:hAnsi="Wingdings"/>
              </w:rPr>
              <w:t>□</w:t>
            </w:r>
            <w:r>
              <w:rPr>
                <w:rFonts w:hint="eastAsia"/>
              </w:rPr>
              <w:t xml:space="preserve">锅炉爆炸 </w:t>
            </w:r>
            <w:r>
              <w:rPr>
                <w:rFonts w:ascii="Wingdings" w:hAnsi="Wingdings"/>
              </w:rPr>
              <w:t>□</w:t>
            </w:r>
            <w:r>
              <w:rPr>
                <w:rFonts w:hint="eastAsia"/>
              </w:rPr>
              <w:t xml:space="preserve">环保设备故障 </w:t>
            </w:r>
            <w:r>
              <w:rPr>
                <w:rFonts w:ascii="Wingdings" w:hAnsi="Wingdings"/>
              </w:rPr>
              <w:t>□</w:t>
            </w:r>
            <w:r>
              <w:rPr>
                <w:rFonts w:hint="eastAsia"/>
              </w:rPr>
              <w:t xml:space="preserve">停水停电 </w:t>
            </w:r>
            <w:r>
              <w:rPr>
                <w:rFonts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202</w:t>
            </w:r>
            <w:r>
              <w:rPr>
                <w:rFonts w:hint="eastAsia"/>
                <w:u w:val="single"/>
                <w:lang w:val="en-US" w:eastAsia="zh-CN"/>
              </w:rPr>
              <w:t>2</w:t>
            </w:r>
            <w:r>
              <w:rPr>
                <w:rFonts w:hint="eastAsia"/>
                <w:u w:val="single"/>
              </w:rPr>
              <w:t xml:space="preserve">  </w:t>
            </w:r>
            <w:r>
              <w:rPr>
                <w:rFonts w:hint="eastAsia"/>
              </w:rPr>
              <w:t>年</w:t>
            </w:r>
            <w:r>
              <w:rPr>
                <w:rFonts w:hint="eastAsia"/>
                <w:u w:val="single"/>
              </w:rPr>
              <w:t xml:space="preserve">  4 </w:t>
            </w:r>
            <w:r>
              <w:rPr>
                <w:rFonts w:hint="eastAsia"/>
              </w:rPr>
              <w:t>月</w:t>
            </w:r>
            <w:r>
              <w:rPr>
                <w:rFonts w:hint="eastAsia"/>
                <w:u w:val="single"/>
              </w:rPr>
              <w:t xml:space="preserve"> 1</w:t>
            </w:r>
            <w:r>
              <w:rPr>
                <w:rFonts w:hint="eastAsia"/>
                <w:u w:val="single"/>
                <w:lang w:val="en-US" w:eastAsia="zh-CN"/>
              </w:rPr>
              <w:t>6</w:t>
            </w:r>
            <w:r>
              <w:rPr>
                <w:rFonts w:hint="eastAsia"/>
                <w:u w:val="single"/>
              </w:rPr>
              <w:t xml:space="preserve">  </w:t>
            </w:r>
            <w:r>
              <w:rPr>
                <w:rFonts w:hint="eastAsia"/>
              </w:rPr>
              <w:t>日进行了</w:t>
            </w:r>
            <w:r>
              <w:rPr>
                <w:rFonts w:hint="eastAsia"/>
                <w:u w:val="single"/>
              </w:rPr>
              <w:t xml:space="preserve">   消防应急预案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应急准备和响应控制：■符合要求 </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u w:val="single"/>
              </w:rPr>
              <w:t xml:space="preserve"> 202</w:t>
            </w:r>
            <w:r>
              <w:rPr>
                <w:rFonts w:hint="eastAsia"/>
                <w:u w:val="single"/>
                <w:lang w:val="en-US" w:eastAsia="zh-CN"/>
              </w:rPr>
              <w:t>2</w:t>
            </w:r>
            <w:r>
              <w:rPr>
                <w:rFonts w:hint="eastAsia"/>
                <w:u w:val="single"/>
              </w:rPr>
              <w:t xml:space="preserve">  </w:t>
            </w:r>
            <w:r>
              <w:rPr>
                <w:rFonts w:hint="eastAsia"/>
              </w:rPr>
              <w:t>年</w:t>
            </w:r>
            <w:r>
              <w:rPr>
                <w:rFonts w:hint="eastAsia"/>
                <w:u w:val="single"/>
              </w:rPr>
              <w:t xml:space="preserve"> 3 </w:t>
            </w:r>
            <w:r>
              <w:rPr>
                <w:rFonts w:hint="eastAsia"/>
              </w:rPr>
              <w:t>月</w:t>
            </w:r>
            <w:r>
              <w:rPr>
                <w:rFonts w:hint="eastAsia"/>
                <w:u w:val="single"/>
              </w:rPr>
              <w:t xml:space="preserve"> 2</w:t>
            </w:r>
            <w:r>
              <w:rPr>
                <w:rFonts w:hint="eastAsia"/>
                <w:u w:val="single"/>
                <w:lang w:val="en-US" w:eastAsia="zh-CN"/>
              </w:rPr>
              <w:t>5</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2022年4月20日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2022年5月20日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vAlign w:val="top"/>
          </w:tcPr>
          <w:p>
            <w:pPr>
              <w:rPr>
                <w:rFonts w:ascii="Times New Roman" w:hAnsi="Times New Roman" w:eastAsia="宋体" w:cs="Times New Roman"/>
                <w:kern w:val="2"/>
                <w:sz w:val="21"/>
                <w:szCs w:val="24"/>
                <w:lang w:val="en-US" w:eastAsia="zh-CN" w:bidi="ar-SA"/>
              </w:rPr>
            </w:pPr>
            <w:r>
              <w:rPr>
                <w:rFonts w:hint="eastAsia"/>
              </w:rPr>
              <w:t xml:space="preserve"> ■OHSMS体系建立以来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rPr>
                      <w:rFonts w:ascii="Times New Roman" w:hAnsi="Times New Roman" w:eastAsia="宋体" w:cs="Times New Roman"/>
                      <w:kern w:val="2"/>
                      <w:sz w:val="21"/>
                      <w:szCs w:val="24"/>
                      <w:lang w:val="en-US" w:eastAsia="zh-CN" w:bidi="ar-SA"/>
                    </w:rPr>
                  </w:pPr>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rPr>
                      <w:rFonts w:ascii="Times New Roman" w:hAnsi="Times New Roman" w:eastAsia="宋体" w:cs="Times New Roman"/>
                      <w:kern w:val="2"/>
                      <w:sz w:val="21"/>
                      <w:szCs w:val="24"/>
                      <w:lang w:val="en-US" w:eastAsia="zh-CN" w:bidi="ar-SA"/>
                    </w:rPr>
                  </w:pPr>
                  <w:r>
                    <w:rPr>
                      <w:rFonts w:hint="eastAsia"/>
                    </w:rPr>
                    <w:t>内部环境</w:t>
                  </w:r>
                </w:p>
              </w:tc>
              <w:tc>
                <w:tcPr>
                  <w:tcW w:w="7375" w:type="dxa"/>
                  <w:vAlign w:val="top"/>
                </w:tcPr>
                <w:p>
                  <w:r>
                    <w:rPr>
                      <w:rFonts w:hint="eastAsia"/>
                    </w:rPr>
                    <w:t xml:space="preserve">■认知 ■价值观  □文化  ■知识 ■绩效 □工艺 □设备 ■人员能力 </w:t>
                  </w:r>
                </w:p>
                <w:p>
                  <w:pPr>
                    <w:rPr>
                      <w:rFonts w:ascii="Times New Roman" w:hAnsi="Times New Roman" w:eastAsia="宋体" w:cs="Times New Roman"/>
                      <w:kern w:val="2"/>
                      <w:sz w:val="21"/>
                      <w:szCs w:val="24"/>
                      <w:lang w:val="en-US" w:eastAsia="zh-CN" w:bidi="ar-SA"/>
                    </w:rPr>
                  </w:pP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最高管理者制定了文件化的职业健康安全管理体系方针：守法诚信追求精品，预防污染保护环境；关爱员工健康安全，持续改进追求卓越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pPr>
              <w:rPr>
                <w:rFonts w:hint="eastAsia"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董军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cs="宋体"/>
                      <w:kern w:val="2"/>
                      <w:sz w:val="20"/>
                      <w:szCs w:val="20"/>
                      <w:lang w:val="en-US" w:eastAsia="zh-CN" w:bidi="ar-SA"/>
                    </w:rPr>
                  </w:pPr>
                  <w:r>
                    <w:rPr>
                      <w:rFonts w:hint="eastAsia"/>
                      <w:sz w:val="20"/>
                      <w:szCs w:val="20"/>
                    </w:rPr>
                    <w:t>1.紧急状态事件未识别或识别不充分</w:t>
                  </w:r>
                </w:p>
              </w:tc>
              <w:tc>
                <w:tcPr>
                  <w:tcW w:w="3965" w:type="dxa"/>
                  <w:vAlign w:val="center"/>
                </w:tcPr>
                <w:p>
                  <w:pPr>
                    <w:rPr>
                      <w:rFonts w:ascii="宋体" w:hAnsi="宋体" w:eastAsia="宋体" w:cs="宋体"/>
                      <w:kern w:val="2"/>
                      <w:sz w:val="20"/>
                      <w:szCs w:val="20"/>
                      <w:lang w:val="en-US" w:eastAsia="zh-CN" w:bidi="ar-SA"/>
                    </w:rPr>
                  </w:pPr>
                  <w:r>
                    <w:rPr>
                      <w:rFonts w:hint="eastAsia"/>
                      <w:sz w:val="20"/>
                      <w:szCs w:val="20"/>
                    </w:rPr>
                    <w:t xml:space="preserve">制定应急准备与响应管规定明确紧急事件的范围:火灾自然灾害 </w:t>
                  </w:r>
                </w:p>
              </w:tc>
              <w:tc>
                <w:tcPr>
                  <w:tcW w:w="1717" w:type="dxa"/>
                  <w:vAlign w:val="top"/>
                </w:tcPr>
                <w:p>
                  <w:pPr>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cs="宋体"/>
                      <w:kern w:val="2"/>
                      <w:sz w:val="20"/>
                      <w:szCs w:val="20"/>
                      <w:lang w:val="en-US" w:eastAsia="zh-CN" w:bidi="ar-SA"/>
                    </w:rPr>
                  </w:pPr>
                  <w:r>
                    <w:rPr>
                      <w:rFonts w:hint="eastAsia"/>
                      <w:sz w:val="20"/>
                      <w:szCs w:val="20"/>
                    </w:rPr>
                    <w:t>2.针对紧急事件未制定应急计划或应急计划不合理</w:t>
                  </w:r>
                </w:p>
              </w:tc>
              <w:tc>
                <w:tcPr>
                  <w:tcW w:w="3965" w:type="dxa"/>
                  <w:vAlign w:val="center"/>
                </w:tcPr>
                <w:p>
                  <w:pPr>
                    <w:rPr>
                      <w:rFonts w:ascii="宋体" w:hAnsi="宋体" w:eastAsia="宋体" w:cs="宋体"/>
                      <w:kern w:val="2"/>
                      <w:sz w:val="20"/>
                      <w:szCs w:val="20"/>
                      <w:lang w:val="en-US" w:eastAsia="zh-CN" w:bidi="ar-SA"/>
                    </w:rPr>
                  </w:pPr>
                  <w:r>
                    <w:rPr>
                      <w:rFonts w:hint="eastAsia"/>
                      <w:sz w:val="20"/>
                      <w:szCs w:val="20"/>
                    </w:rPr>
                    <w:t>制定应急计划/预案,并定期演习评价改进</w:t>
                  </w:r>
                </w:p>
              </w:tc>
              <w:tc>
                <w:tcPr>
                  <w:tcW w:w="1717" w:type="dxa"/>
                  <w:vAlign w:val="top"/>
                </w:tcPr>
                <w:p>
                  <w:pPr>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cs="宋体"/>
                      <w:kern w:val="2"/>
                      <w:sz w:val="20"/>
                      <w:szCs w:val="20"/>
                      <w:lang w:val="en-US" w:eastAsia="zh-CN" w:bidi="ar-SA"/>
                    </w:rPr>
                  </w:pPr>
                  <w:r>
                    <w:rPr>
                      <w:rFonts w:hint="eastAsia"/>
                      <w:sz w:val="20"/>
                      <w:szCs w:val="20"/>
                    </w:rPr>
                    <w:t>3.应急计划无法进行响应</w:t>
                  </w:r>
                </w:p>
              </w:tc>
              <w:tc>
                <w:tcPr>
                  <w:tcW w:w="3965" w:type="dxa"/>
                  <w:vAlign w:val="center"/>
                </w:tcPr>
                <w:p>
                  <w:pPr>
                    <w:rPr>
                      <w:rFonts w:ascii="宋体" w:hAnsi="宋体" w:eastAsia="宋体" w:cs="宋体"/>
                      <w:kern w:val="2"/>
                      <w:sz w:val="20"/>
                      <w:szCs w:val="20"/>
                      <w:lang w:val="en-US" w:eastAsia="zh-CN" w:bidi="ar-SA"/>
                    </w:rPr>
                  </w:pPr>
                  <w:r>
                    <w:rPr>
                      <w:rFonts w:hint="eastAsia"/>
                      <w:sz w:val="20"/>
                      <w:szCs w:val="20"/>
                    </w:rPr>
                    <w:t>在可能发生紧急事件的场所揭示应急联络网,定期培训和演习评价</w:t>
                  </w:r>
                </w:p>
              </w:tc>
              <w:tc>
                <w:tcPr>
                  <w:tcW w:w="1717" w:type="dxa"/>
                  <w:vAlign w:val="top"/>
                </w:tcPr>
                <w:p>
                  <w:pPr>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23"/>
                    <w:numPr>
                      <w:numId w:val="0"/>
                    </w:numPr>
                    <w:ind w:leftChars="0"/>
                    <w:jc w:val="left"/>
                    <w:rPr>
                      <w:rFonts w:ascii="宋体" w:hAnsi="宋体" w:eastAsiaTheme="minorEastAsia" w:cstheme="minorBidi"/>
                      <w:kern w:val="2"/>
                      <w:sz w:val="18"/>
                      <w:szCs w:val="18"/>
                      <w:lang w:val="en-US" w:eastAsia="zh-CN" w:bidi="ar-SA"/>
                    </w:rPr>
                  </w:pPr>
                  <w:r>
                    <w:rPr>
                      <w:rFonts w:hint="eastAsia" w:ascii="宋体" w:hAnsi="宋体"/>
                      <w:sz w:val="18"/>
                      <w:szCs w:val="18"/>
                    </w:rPr>
                    <w:t>触电事故发生率为零；</w:t>
                  </w:r>
                </w:p>
              </w:tc>
              <w:tc>
                <w:tcPr>
                  <w:tcW w:w="3136" w:type="dxa"/>
                  <w:shd w:val="clear" w:color="auto" w:fill="auto"/>
                  <w:vAlign w:val="top"/>
                </w:tcPr>
                <w:p>
                  <w:pPr>
                    <w:pStyle w:val="23"/>
                    <w:numPr>
                      <w:numId w:val="0"/>
                    </w:numPr>
                    <w:ind w:leftChars="0"/>
                    <w:jc w:val="left"/>
                    <w:rPr>
                      <w:rFonts w:ascii="宋体" w:hAnsi="宋体" w:eastAsiaTheme="minorEastAsia" w:cstheme="minorBidi"/>
                      <w:kern w:val="2"/>
                      <w:sz w:val="18"/>
                      <w:szCs w:val="18"/>
                      <w:lang w:val="en-GB" w:eastAsia="zh-CN" w:bidi="ar-SA"/>
                    </w:rPr>
                  </w:pPr>
                  <w:r>
                    <w:rPr>
                      <w:rFonts w:hint="eastAsia" w:ascii="宋体" w:hAnsi="宋体"/>
                      <w:sz w:val="18"/>
                      <w:szCs w:val="18"/>
                    </w:rPr>
                    <w:t>统计触电事故发生次数</w:t>
                  </w:r>
                </w:p>
              </w:tc>
              <w:tc>
                <w:tcPr>
                  <w:tcW w:w="1350" w:type="dxa"/>
                  <w:shd w:val="clear" w:color="auto" w:fill="auto"/>
                  <w:vAlign w:val="center"/>
                </w:tcPr>
                <w:p>
                  <w:pPr>
                    <w:shd w:val="clear" w:color="auto" w:fill="C7DAF1" w:themeFill="text2" w:themeFillTint="32"/>
                    <w:rPr>
                      <w:rFonts w:hint="eastAsia" w:ascii="宋体" w:hAnsi="宋体" w:eastAsiaTheme="minorEastAsia" w:cstheme="minorBidi"/>
                      <w:kern w:val="2"/>
                      <w:sz w:val="18"/>
                      <w:szCs w:val="18"/>
                      <w:lang w:val="en-GB" w:eastAsia="zh-CN" w:bidi="ar-SA"/>
                    </w:rPr>
                  </w:pPr>
                  <w:r>
                    <w:rPr>
                      <w:rFonts w:hint="eastAsia" w:ascii="宋体" w:hAnsi="宋体" w:eastAsiaTheme="minorEastAsia" w:cstheme="minorBidi"/>
                      <w:kern w:val="2"/>
                      <w:sz w:val="18"/>
                      <w:szCs w:val="18"/>
                      <w:lang w:val="en-US" w:eastAsia="zh-CN" w:bidi="ar-SA"/>
                    </w:rPr>
                    <w:t>行政部</w:t>
                  </w:r>
                </w:p>
              </w:tc>
              <w:tc>
                <w:tcPr>
                  <w:tcW w:w="1774" w:type="dxa"/>
                  <w:shd w:val="clear" w:color="auto" w:fill="auto"/>
                  <w:vAlign w:val="top"/>
                </w:tcPr>
                <w:p>
                  <w:pPr>
                    <w:pStyle w:val="23"/>
                    <w:jc w:val="left"/>
                    <w:rPr>
                      <w:rFonts w:ascii="宋体" w:hAnsi="宋体" w:eastAsiaTheme="minorEastAsia" w:cstheme="minorBidi"/>
                      <w:kern w:val="2"/>
                      <w:sz w:val="18"/>
                      <w:szCs w:val="18"/>
                      <w:lang w:val="en-GB" w:eastAsia="zh-CN" w:bidi="ar-SA"/>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23"/>
                    <w:numPr>
                      <w:numId w:val="0"/>
                    </w:numPr>
                    <w:ind w:leftChars="0"/>
                    <w:jc w:val="left"/>
                    <w:rPr>
                      <w:rFonts w:ascii="宋体" w:hAnsi="宋体" w:eastAsiaTheme="minorEastAsia" w:cstheme="minorBidi"/>
                      <w:kern w:val="2"/>
                      <w:sz w:val="18"/>
                      <w:szCs w:val="18"/>
                      <w:lang w:val="en-US" w:eastAsia="zh-CN" w:bidi="ar-SA"/>
                    </w:rPr>
                  </w:pPr>
                  <w:r>
                    <w:rPr>
                      <w:rFonts w:hint="eastAsia" w:ascii="宋体" w:hAnsi="宋体"/>
                      <w:sz w:val="18"/>
                      <w:szCs w:val="18"/>
                    </w:rPr>
                    <w:t xml:space="preserve">各类重伤以上事故发生率零； </w:t>
                  </w:r>
                </w:p>
              </w:tc>
              <w:tc>
                <w:tcPr>
                  <w:tcW w:w="3136" w:type="dxa"/>
                  <w:shd w:val="clear" w:color="auto" w:fill="auto"/>
                  <w:vAlign w:val="top"/>
                </w:tcPr>
                <w:p>
                  <w:pPr>
                    <w:pStyle w:val="23"/>
                    <w:numPr>
                      <w:numId w:val="0"/>
                    </w:numPr>
                    <w:ind w:leftChars="0"/>
                    <w:jc w:val="left"/>
                    <w:rPr>
                      <w:rFonts w:ascii="宋体" w:hAnsi="宋体" w:eastAsiaTheme="minorEastAsia" w:cstheme="minorBidi"/>
                      <w:kern w:val="2"/>
                      <w:sz w:val="18"/>
                      <w:szCs w:val="18"/>
                      <w:lang w:val="en-US" w:eastAsia="zh-CN" w:bidi="ar-SA"/>
                    </w:rPr>
                  </w:pPr>
                  <w:r>
                    <w:rPr>
                      <w:rFonts w:hint="eastAsia" w:ascii="宋体" w:hAnsi="宋体"/>
                      <w:sz w:val="18"/>
                      <w:szCs w:val="18"/>
                    </w:rPr>
                    <w:t>统计重伤以上事故发生次数</w:t>
                  </w:r>
                </w:p>
              </w:tc>
              <w:tc>
                <w:tcPr>
                  <w:tcW w:w="1350" w:type="dxa"/>
                  <w:shd w:val="clear" w:color="auto" w:fill="auto"/>
                  <w:vAlign w:val="center"/>
                </w:tcPr>
                <w:p>
                  <w:pPr>
                    <w:shd w:val="clear" w:color="auto" w:fill="C7DAF1" w:themeFill="text2" w:themeFillTint="32"/>
                    <w:rPr>
                      <w:rFonts w:hint="eastAsia" w:ascii="宋体" w:hAnsi="宋体" w:eastAsiaTheme="minorEastAsia" w:cstheme="minorBidi"/>
                      <w:kern w:val="2"/>
                      <w:sz w:val="18"/>
                      <w:szCs w:val="18"/>
                      <w:lang w:val="en-US" w:eastAsia="zh-CN" w:bidi="ar-SA"/>
                    </w:rPr>
                  </w:pPr>
                  <w:r>
                    <w:rPr>
                      <w:rFonts w:hint="eastAsia" w:ascii="宋体" w:hAnsi="宋体" w:eastAsiaTheme="minorEastAsia" w:cstheme="minorBidi"/>
                      <w:kern w:val="2"/>
                      <w:sz w:val="18"/>
                      <w:szCs w:val="18"/>
                      <w:lang w:val="en-US" w:eastAsia="zh-CN" w:bidi="ar-SA"/>
                    </w:rPr>
                    <w:t>销售部</w:t>
                  </w:r>
                </w:p>
              </w:tc>
              <w:tc>
                <w:tcPr>
                  <w:tcW w:w="1774" w:type="dxa"/>
                  <w:shd w:val="clear" w:color="auto" w:fill="auto"/>
                  <w:vAlign w:val="top"/>
                </w:tcPr>
                <w:p>
                  <w:pPr>
                    <w:pStyle w:val="23"/>
                    <w:jc w:val="left"/>
                    <w:rPr>
                      <w:rFonts w:ascii="宋体" w:hAnsi="宋体" w:eastAsiaTheme="minorEastAsia" w:cstheme="minorBidi"/>
                      <w:kern w:val="2"/>
                      <w:sz w:val="18"/>
                      <w:szCs w:val="18"/>
                      <w:lang w:val="en-US" w:eastAsia="zh-CN" w:bidi="ar-SA"/>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sz w:val="18"/>
                      <w:szCs w:val="18"/>
                    </w:rPr>
                    <w:t>火灾事故发生率为零。</w:t>
                  </w:r>
                </w:p>
              </w:tc>
              <w:tc>
                <w:tcPr>
                  <w:tcW w:w="3136"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sz w:val="18"/>
                      <w:szCs w:val="18"/>
                    </w:rPr>
                    <w:t>统计火灾事故发生次数</w:t>
                  </w:r>
                </w:p>
              </w:tc>
              <w:tc>
                <w:tcPr>
                  <w:tcW w:w="1350" w:type="dxa"/>
                  <w:shd w:val="clear" w:color="auto" w:fill="auto"/>
                  <w:vAlign w:val="center"/>
                </w:tcPr>
                <w:p>
                  <w:pPr>
                    <w:shd w:val="clear" w:color="auto" w:fill="C7DAF1" w:themeFill="text2" w:themeFillTint="32"/>
                    <w:rPr>
                      <w:rFonts w:hint="eastAsia" w:ascii="宋体" w:hAnsi="宋体" w:eastAsiaTheme="minorEastAsia" w:cstheme="minorBidi"/>
                      <w:kern w:val="2"/>
                      <w:sz w:val="18"/>
                      <w:szCs w:val="18"/>
                      <w:lang w:val="en-US" w:eastAsia="zh-CN" w:bidi="ar-SA"/>
                    </w:rPr>
                  </w:pPr>
                  <w:r>
                    <w:rPr>
                      <w:rFonts w:hint="eastAsia" w:ascii="宋体" w:hAnsi="宋体" w:eastAsiaTheme="minorEastAsia" w:cstheme="minorBidi"/>
                      <w:kern w:val="2"/>
                      <w:sz w:val="18"/>
                      <w:szCs w:val="18"/>
                      <w:lang w:val="en-US" w:eastAsia="zh-CN" w:bidi="ar-SA"/>
                    </w:rPr>
                    <w:t>行政部</w:t>
                  </w:r>
                </w:p>
              </w:tc>
              <w:tc>
                <w:tcPr>
                  <w:tcW w:w="1774"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组织的资源状况：■人力资源■自然资源■基础设施  ■技术  ■财务资源。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建筑面积</w:t>
            </w:r>
            <w:r>
              <w:rPr>
                <w:rFonts w:hint="eastAsia"/>
                <w:u w:val="single"/>
              </w:rPr>
              <w:t xml:space="preserve">  100    </w:t>
            </w:r>
            <w:r>
              <w:rPr>
                <w:rFonts w:hint="eastAsia"/>
              </w:rPr>
              <w:t>平方米；生产车间</w:t>
            </w:r>
            <w:r>
              <w:rPr>
                <w:rFonts w:hint="eastAsia"/>
                <w:u w:val="single"/>
              </w:rPr>
              <w:t xml:space="preserve"> 0  </w:t>
            </w:r>
            <w:r>
              <w:rPr>
                <w:rFonts w:hint="eastAsia"/>
              </w:rPr>
              <w:t>个；库房</w:t>
            </w:r>
            <w:r>
              <w:rPr>
                <w:rFonts w:hint="eastAsia"/>
                <w:u w:val="single"/>
              </w:rPr>
              <w:t xml:space="preserve"> 0   </w:t>
            </w:r>
            <w:r>
              <w:rPr>
                <w:rFonts w:hint="eastAsia"/>
              </w:rPr>
              <w:t>个；实验室</w:t>
            </w:r>
            <w:r>
              <w:rPr>
                <w:rFonts w:hint="eastAsia"/>
                <w:u w:val="single"/>
              </w:rPr>
              <w:t xml:space="preserve"> 0  </w:t>
            </w:r>
            <w:r>
              <w:rPr>
                <w:rFonts w:hint="eastAsia"/>
              </w:rPr>
              <w:t>个；</w:t>
            </w:r>
          </w:p>
          <w:p>
            <w:pPr>
              <w:rPr>
                <w:u w:val="single"/>
              </w:rPr>
            </w:pPr>
            <w:r>
              <w:rPr>
                <w:rFonts w:hint="eastAsia"/>
              </w:rPr>
              <w:t>主要生产设备有：</w:t>
            </w:r>
            <w:r>
              <w:rPr>
                <w:rFonts w:hint="eastAsia"/>
                <w:u w:val="single"/>
              </w:rPr>
              <w:t xml:space="preserve">  电脑、打印机、wifi、文件柜        （列举2~4种）</w:t>
            </w:r>
          </w:p>
          <w:p>
            <w:r>
              <w:rPr>
                <w:rFonts w:hint="eastAsia"/>
              </w:rPr>
              <w:t>主要安全装置有：</w:t>
            </w:r>
          </w:p>
          <w:p>
            <w:r>
              <w:rPr>
                <w:rFonts w:ascii="Wingdings" w:hAnsi="Wingdings"/>
              </w:rPr>
              <w:t>□</w:t>
            </w:r>
            <w:r>
              <w:rPr>
                <w:rFonts w:hint="eastAsia"/>
              </w:rPr>
              <w:t xml:space="preserve">急停按钮 </w:t>
            </w:r>
            <w:r>
              <w:rPr>
                <w:rFonts w:ascii="Wingdings" w:hAnsi="Wingdings"/>
              </w:rPr>
              <w:t>□</w:t>
            </w:r>
            <w:r>
              <w:rPr>
                <w:rFonts w:hint="eastAsia"/>
              </w:rPr>
              <w:t xml:space="preserve">光栅 </w:t>
            </w:r>
            <w:r>
              <w:rPr>
                <w:rFonts w:ascii="Wingdings" w:hAnsi="Wingdings"/>
              </w:rPr>
              <w:t>□</w:t>
            </w:r>
            <w:r>
              <w:rPr>
                <w:rFonts w:hint="eastAsia"/>
              </w:rPr>
              <w:t xml:space="preserve">联锁装置  ■漏电开关 </w:t>
            </w:r>
            <w:r>
              <w:rPr>
                <w:rFonts w:ascii="Wingdings" w:hAnsi="Wingdings"/>
              </w:rPr>
              <w:t>□</w:t>
            </w:r>
            <w:r>
              <w:rPr>
                <w:rFonts w:hint="eastAsia"/>
              </w:rPr>
              <w:t xml:space="preserve">报警系统  ■消防系统  </w:t>
            </w:r>
            <w:r>
              <w:rPr>
                <w:rFonts w:ascii="Wingdings" w:hAnsi="Wingdings"/>
              </w:rPr>
              <w:t>□</w:t>
            </w:r>
            <w:r>
              <w:rPr>
                <w:rFonts w:hint="eastAsia"/>
              </w:rPr>
              <w:t xml:space="preserve">不适用 </w:t>
            </w:r>
          </w:p>
          <w:p>
            <w:pPr>
              <w:rPr>
                <w:u w:val="single"/>
              </w:rPr>
            </w:pPr>
          </w:p>
          <w:p>
            <w:r>
              <w:rPr>
                <w:rFonts w:hint="eastAsia"/>
              </w:rPr>
              <w:t>特种设备：</w:t>
            </w:r>
            <w:r>
              <w:rPr>
                <w:rFonts w:ascii="Wingdings" w:hAnsi="Wingdings"/>
              </w:rPr>
              <w:t>□</w:t>
            </w:r>
            <w:r>
              <w:rPr>
                <w:rFonts w:hint="eastAsia"/>
              </w:rPr>
              <w:t xml:space="preserve">叉车 </w:t>
            </w:r>
            <w:r>
              <w:rPr>
                <w:rFonts w:ascii="Wingdings" w:hAnsi="Wingdings"/>
              </w:rPr>
              <w:t>□</w:t>
            </w:r>
            <w:r>
              <w:rPr>
                <w:rFonts w:hint="eastAsia"/>
              </w:rPr>
              <w:t xml:space="preserve">行车 </w:t>
            </w:r>
            <w:r>
              <w:rPr>
                <w:rFonts w:ascii="Wingdings" w:hAnsi="Wingdings"/>
              </w:rPr>
              <w:t>□</w:t>
            </w:r>
            <w:r>
              <w:rPr>
                <w:rFonts w:hint="eastAsia"/>
              </w:rPr>
              <w:t xml:space="preserve">锅炉 </w:t>
            </w:r>
            <w:r>
              <w:rPr>
                <w:rFonts w:ascii="Wingdings" w:hAnsi="Wingdings"/>
              </w:rPr>
              <w:t>□</w:t>
            </w:r>
            <w:r>
              <w:rPr>
                <w:rFonts w:hint="eastAsia"/>
              </w:rPr>
              <w:t xml:space="preserve">电梯  </w:t>
            </w:r>
            <w:r>
              <w:rPr>
                <w:rFonts w:ascii="Wingdings" w:hAnsi="Wingdings"/>
              </w:rPr>
              <w:t>□</w:t>
            </w:r>
            <w:r>
              <w:rPr>
                <w:rFonts w:hint="eastAsia"/>
              </w:rPr>
              <w:t xml:space="preserve">压力容器  </w:t>
            </w:r>
            <w:r>
              <w:rPr>
                <w:rFonts w:ascii="Wingdings" w:hAnsi="Wingdings"/>
              </w:rPr>
              <w:t>□</w:t>
            </w:r>
            <w:r>
              <w:rPr>
                <w:rFonts w:hint="eastAsia"/>
              </w:rPr>
              <w:t xml:space="preserve">压力管道  ■不适用 </w:t>
            </w:r>
          </w:p>
          <w:p>
            <w:r>
              <w:rPr>
                <w:rFonts w:hint="eastAsia"/>
              </w:rPr>
              <w:t>辅助场所：</w:t>
            </w:r>
            <w:r>
              <w:rPr>
                <w:rFonts w:ascii="Wingdings" w:hAnsi="Wingdings"/>
              </w:rPr>
              <w:t>□</w:t>
            </w:r>
            <w:r>
              <w:rPr>
                <w:rFonts w:hint="eastAsia"/>
              </w:rPr>
              <w:t xml:space="preserve">高压配电室 </w:t>
            </w:r>
            <w:r>
              <w:rPr>
                <w:rFonts w:ascii="Wingdings" w:hAnsi="Wingdings"/>
              </w:rPr>
              <w:t>□</w:t>
            </w:r>
            <w:r>
              <w:rPr>
                <w:rFonts w:hint="eastAsia"/>
              </w:rPr>
              <w:t xml:space="preserve">低压配电室 </w:t>
            </w:r>
            <w:r>
              <w:rPr>
                <w:rFonts w:ascii="Wingdings" w:hAnsi="Wingdings"/>
              </w:rPr>
              <w:t>□</w:t>
            </w:r>
            <w:r>
              <w:rPr>
                <w:rFonts w:hint="eastAsia"/>
              </w:rPr>
              <w:t xml:space="preserve">空压站 </w:t>
            </w:r>
            <w:r>
              <w:rPr>
                <w:rFonts w:ascii="Wingdings" w:hAnsi="Wingdings"/>
              </w:rPr>
              <w:t>□</w:t>
            </w:r>
            <w:r>
              <w:rPr>
                <w:rFonts w:hint="eastAsia"/>
              </w:rPr>
              <w:t xml:space="preserve">锅炉房 </w:t>
            </w:r>
            <w:r>
              <w:rPr>
                <w:rFonts w:ascii="Wingdings" w:hAnsi="Wingdings"/>
              </w:rPr>
              <w:t>□</w:t>
            </w:r>
            <w:r>
              <w:rPr>
                <w:rFonts w:hint="eastAsia"/>
              </w:rPr>
              <w:t xml:space="preserve">食堂  </w:t>
            </w:r>
            <w:r>
              <w:rPr>
                <w:rFonts w:ascii="Wingdings" w:hAnsi="Wingdings"/>
              </w:rPr>
              <w:t>□</w:t>
            </w:r>
            <w:r>
              <w:rPr>
                <w:rFonts w:hint="eastAsia"/>
              </w:rPr>
              <w:t xml:space="preserve">危化品库  </w:t>
            </w:r>
          </w:p>
          <w:p>
            <w:pPr>
              <w:ind w:firstLine="1050" w:firstLineChars="500"/>
            </w:pPr>
            <w:r>
              <w:rPr>
                <w:rFonts w:ascii="Wingdings" w:hAnsi="Wingdings"/>
              </w:rPr>
              <w:t>□</w:t>
            </w:r>
            <w:r>
              <w:rPr>
                <w:rFonts w:hint="eastAsia"/>
              </w:rPr>
              <w:t xml:space="preserve">危废库  </w:t>
            </w:r>
            <w:r>
              <w:rPr>
                <w:rFonts w:ascii="Wingdings" w:hAnsi="Wingdings"/>
              </w:rPr>
              <w:t>□</w:t>
            </w:r>
            <w:r>
              <w:rPr>
                <w:rFonts w:hint="eastAsia"/>
              </w:rPr>
              <w:t xml:space="preserve">建筑施工 </w:t>
            </w:r>
            <w:r>
              <w:rPr>
                <w:rFonts w:ascii="Wingdings" w:hAnsi="Wingdings"/>
              </w:rPr>
              <w:t>□</w:t>
            </w:r>
            <w:r>
              <w:rPr>
                <w:rFonts w:hint="eastAsia"/>
              </w:rPr>
              <w:t xml:space="preserve">污水处理站  </w:t>
            </w:r>
            <w:r>
              <w:rPr>
                <w:rFonts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 xml:space="preserve">通过■招聘 </w:t>
            </w:r>
            <w:r>
              <w:rPr>
                <w:rFonts w:ascii="Wingdings" w:hAnsi="Wingdings"/>
              </w:rPr>
              <w:t>□</w:t>
            </w:r>
            <w:r>
              <w:rPr>
                <w:rFonts w:hint="eastAsia"/>
              </w:rPr>
              <w:t xml:space="preserve">换岗  ■培训  ■考核   ■辅导  </w:t>
            </w:r>
            <w:r>
              <w:rPr>
                <w:rFonts w:ascii="Wingdings" w:hAnsi="Wingdings"/>
              </w:rPr>
              <w:t>□</w:t>
            </w:r>
            <w:r>
              <w:rPr>
                <w:rFonts w:hint="eastAsia"/>
              </w:rPr>
              <w:t>其他</w:t>
            </w:r>
          </w:p>
          <w:p/>
          <w:p>
            <w:r>
              <w:rPr>
                <w:rFonts w:hint="eastAsia"/>
              </w:rPr>
              <w:t>对国家规定持证上岗的人员资质进行了有效的管理。  无</w:t>
            </w:r>
          </w:p>
          <w:p>
            <w:r>
              <w:rPr>
                <w:rFonts w:hint="eastAsia"/>
              </w:rPr>
              <w:t>特种作业人员：</w:t>
            </w:r>
            <w:r>
              <w:rPr>
                <w:rFonts w:ascii="Wingdings" w:hAnsi="Wingdings"/>
              </w:rPr>
              <w:t>□</w:t>
            </w:r>
            <w:r>
              <w:rPr>
                <w:rFonts w:hint="eastAsia"/>
              </w:rPr>
              <w:t xml:space="preserve">电工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 xml:space="preserve">其他  </w:t>
            </w:r>
          </w:p>
          <w:p>
            <w:pPr>
              <w:rPr>
                <w:rFonts w:ascii="Times New Roman" w:hAnsi="Times New Roman" w:eastAsia="宋体" w:cs="Times New Roman"/>
                <w:kern w:val="2"/>
                <w:sz w:val="21"/>
                <w:szCs w:val="24"/>
                <w:lang w:val="en-US" w:eastAsia="zh-CN" w:bidi="ar-SA"/>
              </w:rPr>
            </w:pPr>
            <w:r>
              <w:rPr>
                <w:rFonts w:hint="eastAsia"/>
              </w:rPr>
              <w:t>特种设备作业人员：</w:t>
            </w:r>
            <w:r>
              <w:rPr>
                <w:rFonts w:ascii="Wingdings" w:hAnsi="Wingdings"/>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p/>
          <w:p>
            <w:r>
              <w:rPr>
                <w:rFonts w:hint="eastAsia"/>
              </w:rPr>
              <w:t xml:space="preserve">实施了员工三级安全教育：■入职 </w:t>
            </w:r>
            <w:r>
              <w:rPr>
                <w:rFonts w:ascii="Wingdings" w:hAnsi="Wingdings"/>
              </w:rPr>
              <w:t>□</w:t>
            </w:r>
            <w:r>
              <w:rPr>
                <w:rFonts w:hint="eastAsia"/>
              </w:rPr>
              <w:t xml:space="preserve">换岗  </w:t>
            </w:r>
            <w:r>
              <w:rPr>
                <w:rFonts w:ascii="Wingdings" w:hAnsi="Wingdings"/>
              </w:rPr>
              <w:t>□</w:t>
            </w:r>
            <w:r>
              <w:rPr>
                <w:rFonts w:hint="eastAsia"/>
              </w:rPr>
              <w:t xml:space="preserve">离职 </w:t>
            </w:r>
          </w:p>
          <w:p>
            <w:pPr>
              <w:rPr>
                <w:rFonts w:ascii="Times New Roman" w:hAnsi="Times New Roman" w:eastAsia="宋体" w:cs="Times New Roman"/>
                <w:kern w:val="2"/>
                <w:sz w:val="21"/>
                <w:szCs w:val="24"/>
                <w:lang w:val="en-US" w:eastAsia="zh-CN" w:bidi="ar-SA"/>
              </w:rPr>
            </w:pPr>
            <w:r>
              <w:rPr>
                <w:rFonts w:hint="eastAsia"/>
              </w:rPr>
              <w:t xml:space="preserve">实施了员工职业危害告知：■入职 </w:t>
            </w:r>
            <w:r>
              <w:rPr>
                <w:rFonts w:ascii="Wingdings" w:hAnsi="Wingdings"/>
              </w:rPr>
              <w:t>□</w:t>
            </w:r>
            <w:r>
              <w:rPr>
                <w:rFonts w:hint="eastAsia"/>
              </w:rPr>
              <w:t xml:space="preserve">换岗  </w:t>
            </w:r>
            <w:r>
              <w:rPr>
                <w:rFonts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 xml:space="preserve">外部沟通方式：■宣传材料■网站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 xml:space="preserve">组织已建立了文件化的职业健康安全管理体系。对自编文件的编制、审批、发放、变更和作废进行了控制。■体系文件受控 </w:t>
            </w:r>
            <w:r>
              <w:rPr>
                <w:rFonts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■工艺流程图■作业文件  </w:t>
            </w:r>
            <w:r>
              <w:rPr>
                <w:rFonts w:ascii="Wingdings" w:hAnsi="Wingdings"/>
              </w:rPr>
              <w:t>□</w:t>
            </w:r>
            <w:r>
              <w:rPr>
                <w:rFonts w:hint="eastAsia"/>
              </w:rPr>
              <w:t xml:space="preserve">MSDS   ■安全操作规程  </w:t>
            </w:r>
            <w:r>
              <w:rPr>
                <w:rFonts w:ascii="Wingdings" w:hAnsi="Wingdings"/>
              </w:rPr>
              <w:t>□</w:t>
            </w:r>
            <w:r>
              <w:rPr>
                <w:rFonts w:hint="eastAsia"/>
              </w:rPr>
              <w:t xml:space="preserve">外包控制要求  </w:t>
            </w:r>
            <w:r>
              <w:rPr>
                <w:rFonts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■消除危险源；</w:t>
            </w:r>
          </w:p>
          <w:p>
            <w:r>
              <w:rPr>
                <w:rFonts w:hint="eastAsia"/>
              </w:rPr>
              <w:t>■用低危害材料、工艺、运行或设备替代；</w:t>
            </w:r>
          </w:p>
          <w:p>
            <w:r>
              <w:rPr>
                <w:rFonts w:hint="eastAsia"/>
              </w:rPr>
              <w:t>■使用工程控制措施和（或）重新组织工作；</w:t>
            </w:r>
          </w:p>
          <w:p>
            <w:r>
              <w:rPr>
                <w:rFonts w:hint="eastAsia"/>
              </w:rPr>
              <w:t>■使用管理措施，包括培训；</w:t>
            </w:r>
          </w:p>
          <w:p>
            <w:pPr>
              <w:rPr>
                <w:rFonts w:ascii="Times New Roman" w:hAnsi="Times New Roman" w:eastAsia="宋体" w:cs="Times New Roman"/>
                <w:kern w:val="2"/>
                <w:sz w:val="21"/>
                <w:szCs w:val="24"/>
                <w:lang w:val="en-US" w:eastAsia="zh-CN" w:bidi="ar-SA"/>
              </w:rPr>
            </w:pP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w:t>
            </w:r>
            <w:r>
              <w:rPr>
                <w:rFonts w:ascii="Wingdings" w:hAnsi="Wingdings"/>
              </w:rPr>
              <w:t>□</w:t>
            </w:r>
            <w:r>
              <w:rPr>
                <w:rFonts w:hint="eastAsia"/>
              </w:rPr>
              <w:t xml:space="preserve">委托加工  </w:t>
            </w:r>
            <w:r>
              <w:rPr>
                <w:rFonts w:ascii="Wingdings" w:hAnsi="Wingdings"/>
              </w:rPr>
              <w:t>□</w:t>
            </w:r>
            <w:r>
              <w:rPr>
                <w:rFonts w:hint="eastAsia"/>
              </w:rPr>
              <w:t xml:space="preserve">建筑施工 </w:t>
            </w:r>
            <w:r>
              <w:rPr>
                <w:rFonts w:ascii="Wingdings" w:hAnsi="Wingdings"/>
              </w:rPr>
              <w:t>□</w:t>
            </w:r>
            <w:r>
              <w:rPr>
                <w:rFonts w:hint="eastAsia"/>
              </w:rPr>
              <w:t xml:space="preserve">设备维保  </w:t>
            </w:r>
            <w:r>
              <w:rPr>
                <w:rFonts w:ascii="Wingdings" w:hAnsi="Wingdings"/>
              </w:rPr>
              <w:t>□</w:t>
            </w:r>
            <w:r>
              <w:rPr>
                <w:rFonts w:hint="eastAsia"/>
              </w:rPr>
              <w:t xml:space="preserve">运输  </w:t>
            </w:r>
            <w:r>
              <w:rPr>
                <w:rFonts w:ascii="Wingdings" w:hAnsi="Wingdings"/>
              </w:rPr>
              <w:t>□</w:t>
            </w:r>
            <w:r>
              <w:rPr>
                <w:rFonts w:hint="eastAsia"/>
              </w:rPr>
              <w:t>其他</w:t>
            </w:r>
          </w:p>
          <w:p>
            <w:pPr>
              <w:jc w:val="left"/>
            </w:pPr>
            <w:r>
              <w:rPr>
                <w:rFonts w:hint="eastAsia"/>
              </w:rPr>
              <w:t xml:space="preserve">控制方式：■合同约定 </w:t>
            </w:r>
            <w:r>
              <w:rPr>
                <w:rFonts w:ascii="Wingdings" w:hAnsi="Wingdings"/>
              </w:rPr>
              <w:t>□</w:t>
            </w:r>
            <w:r>
              <w:rPr>
                <w:rFonts w:hint="eastAsia"/>
              </w:rPr>
              <w:t xml:space="preserve">危害告知  ■现场检查 </w:t>
            </w:r>
            <w:r>
              <w:rPr>
                <w:rFonts w:ascii="Wingdings" w:hAnsi="Wingdings"/>
              </w:rPr>
              <w:t>□</w:t>
            </w:r>
            <w:r>
              <w:rPr>
                <w:rFonts w:hint="eastAsia"/>
              </w:rPr>
              <w:t xml:space="preserve">专人跟踪  ■出入控制  </w:t>
            </w:r>
            <w:r>
              <w:rPr>
                <w:rFonts w:ascii="Wingdings" w:hAnsi="Wingdings"/>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对外部供方的控制：</w:t>
            </w:r>
            <w:r>
              <w:rPr>
                <w:rFonts w:ascii="Wingdings" w:hAnsi="Wingdings"/>
              </w:rPr>
              <w:t>□</w:t>
            </w:r>
            <w:r>
              <w:rPr>
                <w:rFonts w:hint="eastAsia"/>
              </w:rPr>
              <w:t>符合要求■存在不足，说明</w:t>
            </w:r>
            <w:r>
              <w:rPr>
                <w:rFonts w:hint="eastAsia"/>
                <w:u w:val="single"/>
              </w:rPr>
              <w:t xml:space="preserve">   </w:t>
            </w:r>
            <w:r>
              <w:rPr>
                <w:rFonts w:hint="eastAsia" w:ascii="Arial" w:hAnsi="Arial" w:cs="Arial"/>
                <w:szCs w:val="21"/>
                <w:lang w:val="de-DE"/>
              </w:rPr>
              <w:t>审核时发现公司未能提供对窗帘供方天津市欧亿窗饰销售有限公司进行调查评价和施加影响的证据，不符合文件和标准要求</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ascii="Times New Roman" w:hAnsi="Times New Roman" w:eastAsia="宋体" w:cs="Times New Roman"/>
                      <w:kern w:val="2"/>
                      <w:sz w:val="21"/>
                      <w:szCs w:val="24"/>
                      <w:lang w:val="en-US" w:eastAsia="zh-CN" w:bidi="ar-SA"/>
                    </w:rPr>
                  </w:pPr>
                  <w:r>
                    <w:t>应急预案</w:t>
                  </w:r>
                  <w:r>
                    <w:rPr>
                      <w:rFonts w:hint="eastAsia"/>
                    </w:rPr>
                    <w:t>、</w:t>
                  </w:r>
                  <w:r>
                    <w:t>消防器材</w:t>
                  </w:r>
                </w:p>
              </w:tc>
              <w:tc>
                <w:tcPr>
                  <w:tcW w:w="2205" w:type="dxa"/>
                  <w:vAlign w:val="top"/>
                </w:tcPr>
                <w:p>
                  <w:pPr>
                    <w:jc w:val="left"/>
                    <w:rPr>
                      <w:rFonts w:ascii="Times New Roman" w:hAnsi="Times New Roman" w:eastAsia="宋体" w:cs="Times New Roman"/>
                      <w:kern w:val="2"/>
                      <w:sz w:val="21"/>
                      <w:szCs w:val="24"/>
                      <w:lang w:val="en-US" w:eastAsia="zh-CN" w:bidi="ar-SA"/>
                    </w:rP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2022年4月16日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2022年3月25日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2022年4月20日-21日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2022年5月20日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3"/>
            <w:r>
              <w:rPr>
                <w:rFonts w:hint="eastAsia"/>
                <w:lang w:val="en-GB"/>
              </w:rPr>
              <w:t>评价*)</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0811243C"/>
    <w:multiLevelType w:val="multilevel"/>
    <w:tmpl w:val="081124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A0054B"/>
    <w:multiLevelType w:val="multilevel"/>
    <w:tmpl w:val="4FA0054B"/>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B1B05A1"/>
    <w:multiLevelType w:val="multilevel"/>
    <w:tmpl w:val="7B1B05A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41FB133E"/>
    <w:rsid w:val="48D20B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line="420" w:lineRule="exact"/>
    </w:pPr>
    <w:rPr>
      <w:sz w:val="24"/>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18833</Words>
  <Characters>19578</Characters>
  <Lines>150</Lines>
  <Paragraphs>42</Paragraphs>
  <TotalTime>0</TotalTime>
  <ScaleCrop>false</ScaleCrop>
  <LinksUpToDate>false</LinksUpToDate>
  <CharactersWithSpaces>19699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2022-08-28T12:49:21Z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