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2"/>
        <w:gridCol w:w="1228"/>
        <w:gridCol w:w="10943"/>
        <w:gridCol w:w="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892" w:type="dxa"/>
            <w:vMerge w:val="restart"/>
            <w:vAlign w:val="center"/>
          </w:tcPr>
          <w:p>
            <w:pPr>
              <w:keepLines w:val="0"/>
              <w:pageBreakBefore w:val="0"/>
              <w:kinsoku/>
              <w:wordWrap/>
              <w:topLinePunct w:val="0"/>
              <w:bidi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过程与活动、</w:t>
            </w:r>
          </w:p>
          <w:p>
            <w:pPr>
              <w:keepLines w:val="0"/>
              <w:pageBreakBefore w:val="0"/>
              <w:kinsoku/>
              <w:wordWrap/>
              <w:topLinePunct w:val="0"/>
              <w:bidi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抽样计划</w:t>
            </w:r>
          </w:p>
        </w:tc>
        <w:tc>
          <w:tcPr>
            <w:tcW w:w="1228" w:type="dxa"/>
            <w:vMerge w:val="restart"/>
            <w:vAlign w:val="center"/>
          </w:tcPr>
          <w:p>
            <w:pPr>
              <w:keepLines w:val="0"/>
              <w:pageBreakBefore w:val="0"/>
              <w:kinsoku/>
              <w:wordWrap/>
              <w:topLinePunct w:val="0"/>
              <w:bidi w:val="0"/>
              <w:spacing w:line="240" w:lineRule="auto"/>
              <w:rPr>
                <w:rFonts w:hint="eastAsia" w:ascii="宋体" w:hAnsi="宋体" w:eastAsia="宋体" w:cs="宋体"/>
                <w:sz w:val="21"/>
                <w:szCs w:val="21"/>
              </w:rPr>
            </w:pPr>
            <w:r>
              <w:rPr>
                <w:rFonts w:hint="eastAsia" w:ascii="宋体" w:hAnsi="宋体" w:eastAsia="宋体" w:cs="宋体"/>
                <w:sz w:val="21"/>
                <w:szCs w:val="21"/>
              </w:rPr>
              <w:t>涉及</w:t>
            </w:r>
          </w:p>
          <w:p>
            <w:pPr>
              <w:keepLines w:val="0"/>
              <w:pageBreakBefore w:val="0"/>
              <w:kinsoku/>
              <w:wordWrap/>
              <w:topLinePunct w:val="0"/>
              <w:bidi w:val="0"/>
              <w:spacing w:line="240" w:lineRule="auto"/>
              <w:rPr>
                <w:rFonts w:hint="eastAsia" w:ascii="宋体" w:hAnsi="宋体" w:eastAsia="宋体" w:cs="宋体"/>
                <w:sz w:val="21"/>
                <w:szCs w:val="21"/>
              </w:rPr>
            </w:pPr>
            <w:r>
              <w:rPr>
                <w:rFonts w:hint="eastAsia" w:ascii="宋体" w:hAnsi="宋体" w:eastAsia="宋体" w:cs="宋体"/>
                <w:sz w:val="21"/>
                <w:szCs w:val="21"/>
              </w:rPr>
              <w:t>条款</w:t>
            </w:r>
          </w:p>
        </w:tc>
        <w:tc>
          <w:tcPr>
            <w:tcW w:w="10943" w:type="dxa"/>
            <w:vAlign w:val="center"/>
          </w:tcPr>
          <w:p>
            <w:pPr>
              <w:keepLines w:val="0"/>
              <w:pageBreakBefore w:val="0"/>
              <w:kinsoku/>
              <w:wordWrap/>
              <w:topLinePunct w:val="0"/>
              <w:bidi w:val="0"/>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rPr>
              <w:t>受审核部门：管理层    总经理：郝妍    管理者代表：周建立</w:t>
            </w:r>
            <w:r>
              <w:rPr>
                <w:rFonts w:hint="eastAsia" w:ascii="宋体" w:hAnsi="宋体" w:eastAsia="宋体" w:cs="宋体"/>
                <w:bCs/>
                <w:sz w:val="21"/>
                <w:szCs w:val="21"/>
              </w:rPr>
              <w:t xml:space="preserve">     </w:t>
            </w:r>
            <w:r>
              <w:rPr>
                <w:rFonts w:hint="eastAsia" w:ascii="宋体" w:hAnsi="宋体" w:eastAsia="宋体" w:cs="宋体"/>
                <w:bCs/>
                <w:sz w:val="21"/>
                <w:szCs w:val="21"/>
                <w:lang w:val="en-US" w:eastAsia="zh-CN"/>
              </w:rPr>
              <w:t>陪同：董军</w:t>
            </w:r>
          </w:p>
        </w:tc>
        <w:tc>
          <w:tcPr>
            <w:tcW w:w="646" w:type="dxa"/>
            <w:vMerge w:val="restart"/>
            <w:vAlign w:val="center"/>
          </w:tcPr>
          <w:p>
            <w:pPr>
              <w:keepLines w:val="0"/>
              <w:pageBreakBefore w:val="0"/>
              <w:kinsoku/>
              <w:wordWrap/>
              <w:topLinePunct w:val="0"/>
              <w:bidi w:val="0"/>
              <w:spacing w:line="240" w:lineRule="auto"/>
              <w:rPr>
                <w:rFonts w:hint="eastAsia" w:ascii="宋体" w:hAnsi="宋体" w:eastAsia="宋体" w:cs="宋体"/>
                <w:sz w:val="21"/>
                <w:szCs w:val="21"/>
              </w:rPr>
            </w:pPr>
            <w:r>
              <w:rPr>
                <w:rFonts w:hint="eastAsia" w:ascii="宋体" w:hAnsi="宋体" w:eastAsia="宋体" w:cs="宋体"/>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892" w:type="dxa"/>
            <w:vMerge w:val="continue"/>
            <w:vAlign w:val="center"/>
          </w:tcPr>
          <w:p>
            <w:pPr>
              <w:keepLines w:val="0"/>
              <w:pageBreakBefore w:val="0"/>
              <w:kinsoku/>
              <w:wordWrap/>
              <w:topLinePunct w:val="0"/>
              <w:bidi w:val="0"/>
              <w:spacing w:line="240" w:lineRule="auto"/>
              <w:rPr>
                <w:rFonts w:hint="eastAsia" w:ascii="宋体" w:hAnsi="宋体" w:eastAsia="宋体" w:cs="宋体"/>
                <w:sz w:val="21"/>
                <w:szCs w:val="21"/>
              </w:rPr>
            </w:pPr>
          </w:p>
        </w:tc>
        <w:tc>
          <w:tcPr>
            <w:tcW w:w="1228" w:type="dxa"/>
            <w:vMerge w:val="continue"/>
            <w:vAlign w:val="center"/>
          </w:tcPr>
          <w:p>
            <w:pPr>
              <w:keepLines w:val="0"/>
              <w:pageBreakBefore w:val="0"/>
              <w:kinsoku/>
              <w:wordWrap/>
              <w:topLinePunct w:val="0"/>
              <w:bidi w:val="0"/>
              <w:spacing w:line="240" w:lineRule="auto"/>
              <w:rPr>
                <w:rFonts w:hint="eastAsia" w:ascii="宋体" w:hAnsi="宋体" w:eastAsia="宋体" w:cs="宋体"/>
                <w:sz w:val="21"/>
                <w:szCs w:val="21"/>
              </w:rPr>
            </w:pPr>
          </w:p>
        </w:tc>
        <w:tc>
          <w:tcPr>
            <w:tcW w:w="10943" w:type="dxa"/>
            <w:vAlign w:val="center"/>
          </w:tcPr>
          <w:p>
            <w:pPr>
              <w:keepLines w:val="0"/>
              <w:pageBreakBefore w:val="0"/>
              <w:kinsoku/>
              <w:wordWrap/>
              <w:topLinePunct w:val="0"/>
              <w:bidi w:val="0"/>
              <w:spacing w:line="240" w:lineRule="auto"/>
              <w:rPr>
                <w:rFonts w:hint="eastAsia" w:ascii="宋体" w:hAnsi="宋体" w:eastAsia="宋体" w:cs="宋体"/>
                <w:sz w:val="21"/>
                <w:szCs w:val="21"/>
              </w:rPr>
            </w:pPr>
            <w:r>
              <w:rPr>
                <w:rFonts w:hint="eastAsia" w:ascii="宋体" w:hAnsi="宋体" w:eastAsia="宋体" w:cs="宋体"/>
                <w:sz w:val="21"/>
                <w:szCs w:val="21"/>
              </w:rPr>
              <w:t xml:space="preserve">审核员： </w:t>
            </w:r>
            <w:r>
              <w:rPr>
                <w:rFonts w:hint="eastAsia" w:ascii="宋体" w:hAnsi="宋体" w:eastAsia="宋体" w:cs="宋体"/>
                <w:sz w:val="21"/>
                <w:szCs w:val="21"/>
                <w:lang w:val="en-US" w:eastAsia="zh-CN"/>
              </w:rPr>
              <w:t>余家龙</w:t>
            </w:r>
            <w:r>
              <w:rPr>
                <w:rFonts w:hint="eastAsia" w:ascii="宋体" w:hAnsi="宋体" w:eastAsia="宋体" w:cs="宋体"/>
                <w:sz w:val="21"/>
                <w:szCs w:val="21"/>
              </w:rPr>
              <w:t xml:space="preserve">        审核时间：202</w:t>
            </w:r>
            <w:r>
              <w:rPr>
                <w:rFonts w:hint="eastAsia" w:ascii="宋体" w:hAnsi="宋体" w:eastAsia="宋体" w:cs="宋体"/>
                <w:sz w:val="21"/>
                <w:szCs w:val="21"/>
                <w:lang w:val="en-US" w:eastAsia="zh-CN"/>
              </w:rPr>
              <w:t>2</w:t>
            </w:r>
            <w:r>
              <w:rPr>
                <w:rFonts w:hint="eastAsia" w:ascii="宋体" w:hAnsi="宋体" w:eastAsia="宋体" w:cs="宋体"/>
                <w:sz w:val="21"/>
                <w:szCs w:val="21"/>
              </w:rPr>
              <w:t>年8月</w:t>
            </w:r>
            <w:r>
              <w:rPr>
                <w:rFonts w:hint="eastAsia" w:ascii="宋体" w:hAnsi="宋体" w:eastAsia="宋体" w:cs="宋体"/>
                <w:sz w:val="21"/>
                <w:szCs w:val="21"/>
                <w:lang w:val="en-US" w:eastAsia="zh-CN"/>
              </w:rPr>
              <w:t>11</w:t>
            </w:r>
            <w:r>
              <w:rPr>
                <w:rFonts w:hint="eastAsia" w:ascii="宋体" w:hAnsi="宋体" w:eastAsia="宋体" w:cs="宋体"/>
                <w:sz w:val="21"/>
                <w:szCs w:val="21"/>
              </w:rPr>
              <w:t>日</w:t>
            </w:r>
          </w:p>
        </w:tc>
        <w:tc>
          <w:tcPr>
            <w:tcW w:w="646" w:type="dxa"/>
            <w:vMerge w:val="continue"/>
          </w:tcPr>
          <w:p>
            <w:pPr>
              <w:keepLines w:val="0"/>
              <w:pageBreakBefore w:val="0"/>
              <w:kinsoku/>
              <w:wordWrap/>
              <w:topLinePunct w:val="0"/>
              <w:bidi w:val="0"/>
              <w:spacing w:line="24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92" w:type="dxa"/>
            <w:vMerge w:val="continue"/>
            <w:vAlign w:val="center"/>
          </w:tcPr>
          <w:p>
            <w:pPr>
              <w:keepLines w:val="0"/>
              <w:pageBreakBefore w:val="0"/>
              <w:kinsoku/>
              <w:wordWrap/>
              <w:topLinePunct w:val="0"/>
              <w:bidi w:val="0"/>
              <w:spacing w:line="240" w:lineRule="auto"/>
              <w:rPr>
                <w:rFonts w:hint="eastAsia" w:ascii="宋体" w:hAnsi="宋体" w:eastAsia="宋体" w:cs="宋体"/>
                <w:sz w:val="21"/>
                <w:szCs w:val="21"/>
              </w:rPr>
            </w:pPr>
          </w:p>
        </w:tc>
        <w:tc>
          <w:tcPr>
            <w:tcW w:w="1228" w:type="dxa"/>
            <w:vMerge w:val="continue"/>
            <w:vAlign w:val="center"/>
          </w:tcPr>
          <w:p>
            <w:pPr>
              <w:keepLines w:val="0"/>
              <w:pageBreakBefore w:val="0"/>
              <w:kinsoku/>
              <w:wordWrap/>
              <w:topLinePunct w:val="0"/>
              <w:bidi w:val="0"/>
              <w:spacing w:line="240" w:lineRule="auto"/>
              <w:rPr>
                <w:rFonts w:hint="eastAsia" w:ascii="宋体" w:hAnsi="宋体" w:eastAsia="宋体" w:cs="宋体"/>
                <w:sz w:val="21"/>
                <w:szCs w:val="21"/>
              </w:rPr>
            </w:pPr>
          </w:p>
        </w:tc>
        <w:tc>
          <w:tcPr>
            <w:tcW w:w="10943"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rPr>
              <w:t>审核过程：</w:t>
            </w:r>
            <w:r>
              <w:rPr>
                <w:rFonts w:hint="eastAsia" w:ascii="宋体" w:hAnsi="宋体" w:eastAsia="宋体" w:cs="宋体"/>
                <w:sz w:val="18"/>
                <w:szCs w:val="18"/>
                <w:highlight w:val="none"/>
                <w:lang w:eastAsia="zh-CN"/>
              </w:rPr>
              <w:t>QMS</w:t>
            </w:r>
            <w:r>
              <w:rPr>
                <w:rFonts w:hint="eastAsia" w:ascii="宋体" w:hAnsi="宋体" w:eastAsia="宋体" w:cs="宋体"/>
                <w:sz w:val="18"/>
                <w:szCs w:val="18"/>
                <w:highlight w:val="none"/>
              </w:rPr>
              <w:t xml:space="preserve"> </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4.1组织及其环境;4.2相关方需求与期望;4.3确定体系范围;4.4体系及其过程;5.1领导作用与承诺;5.2方针;5.3组织的角色、职责和权限；6.1应对风险和机遇的措施；6.2目标及其实现的策划；</w:t>
            </w:r>
            <w:r>
              <w:rPr>
                <w:rFonts w:hint="eastAsia" w:ascii="宋体" w:hAnsi="宋体" w:eastAsia="宋体" w:cs="宋体"/>
                <w:sz w:val="18"/>
                <w:szCs w:val="18"/>
                <w:highlight w:val="none"/>
                <w:lang w:val="en-US" w:eastAsia="zh-CN"/>
              </w:rPr>
              <w:t>6.3变更的策划；</w:t>
            </w:r>
            <w:r>
              <w:rPr>
                <w:rFonts w:hint="eastAsia" w:ascii="宋体" w:hAnsi="宋体" w:eastAsia="宋体" w:cs="宋体"/>
                <w:sz w:val="18"/>
                <w:szCs w:val="18"/>
                <w:highlight w:val="none"/>
              </w:rPr>
              <w:t>7.1.1资源 总则；</w:t>
            </w:r>
            <w:r>
              <w:rPr>
                <w:rFonts w:hint="eastAsia" w:ascii="宋体" w:hAnsi="宋体" w:eastAsia="宋体" w:cs="宋体"/>
                <w:sz w:val="18"/>
                <w:szCs w:val="18"/>
                <w:highlight w:val="none"/>
                <w:lang w:val="en-US" w:eastAsia="zh-CN"/>
              </w:rPr>
              <w:t>7.3意识；7.4沟通；</w:t>
            </w:r>
            <w:r>
              <w:rPr>
                <w:rFonts w:hint="eastAsia" w:ascii="宋体" w:hAnsi="宋体" w:eastAsia="宋体" w:cs="宋体"/>
                <w:sz w:val="18"/>
                <w:szCs w:val="18"/>
                <w:highlight w:val="none"/>
              </w:rPr>
              <w:t>9.1.1监测、分析和评价总则；9.3管理评审；10.1改进 总则；</w:t>
            </w:r>
            <w:r>
              <w:rPr>
                <w:rFonts w:hint="eastAsia" w:ascii="宋体" w:hAnsi="宋体" w:eastAsia="宋体" w:cs="宋体"/>
                <w:sz w:val="18"/>
                <w:szCs w:val="18"/>
                <w:highlight w:val="none"/>
                <w:lang w:val="en-US" w:eastAsia="zh-CN"/>
              </w:rPr>
              <w:t>10.3持续改进</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lang w:eastAsia="zh-CN"/>
              </w:rPr>
              <w:t>EMS:</w:t>
            </w:r>
            <w:r>
              <w:rPr>
                <w:rFonts w:hint="eastAsia" w:ascii="宋体" w:hAnsi="宋体" w:eastAsia="宋体" w:cs="宋体"/>
                <w:sz w:val="18"/>
                <w:szCs w:val="18"/>
                <w:highlight w:val="none"/>
              </w:rPr>
              <w:t>4.1组织及其环境;4.2相关方需求与期望;4.3确定体系范围;4.4体系;5.1领导作用与承诺;5.2方针;5.3组织的角色、职责和权限；6.1.1策划总则；6.2目标及其实现的策划；</w:t>
            </w:r>
            <w:r>
              <w:rPr>
                <w:rFonts w:hint="eastAsia" w:ascii="宋体" w:hAnsi="宋体" w:eastAsia="宋体" w:cs="宋体"/>
                <w:sz w:val="18"/>
                <w:szCs w:val="18"/>
                <w:highlight w:val="none"/>
                <w:lang w:val="en-US" w:eastAsia="zh-CN"/>
              </w:rPr>
              <w:t>7.1资源;7.3意识；7.4沟通；</w:t>
            </w:r>
            <w:r>
              <w:rPr>
                <w:rFonts w:hint="eastAsia" w:ascii="宋体" w:hAnsi="宋体" w:eastAsia="宋体" w:cs="宋体"/>
                <w:sz w:val="18"/>
                <w:szCs w:val="18"/>
                <w:highlight w:val="none"/>
              </w:rPr>
              <w:t>9.3管理评审；10.1改进 总则</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lang w:val="en-US" w:eastAsia="zh-CN"/>
              </w:rPr>
              <w:t>10.3持续改进</w:t>
            </w:r>
            <w:r>
              <w:rPr>
                <w:rFonts w:hint="eastAsia" w:ascii="宋体" w:hAnsi="宋体" w:eastAsia="宋体" w:cs="宋体"/>
                <w:sz w:val="18"/>
                <w:szCs w:val="18"/>
                <w:highlight w:val="none"/>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OHSMS:</w:t>
            </w:r>
            <w:r>
              <w:rPr>
                <w:rFonts w:hint="eastAsia" w:ascii="宋体" w:hAnsi="宋体" w:eastAsia="宋体" w:cs="宋体"/>
                <w:color w:val="auto"/>
                <w:sz w:val="18"/>
                <w:szCs w:val="18"/>
                <w:highlight w:val="none"/>
              </w:rPr>
              <w:t>4.1组织及其环境;4.2相关方需求与期望;4.3确定体系范围;4.4体系;5.1领导作用与承诺;5.2方针;5.3组织的角色、职责和权限；6.1应对风险和机遇的措施；6.2目标及其实现的策划；</w:t>
            </w:r>
            <w:r>
              <w:rPr>
                <w:rFonts w:hint="eastAsia" w:ascii="宋体" w:hAnsi="宋体" w:eastAsia="宋体" w:cs="宋体"/>
                <w:color w:val="auto"/>
                <w:sz w:val="18"/>
                <w:szCs w:val="18"/>
                <w:highlight w:val="none"/>
                <w:lang w:val="en-US" w:eastAsia="zh-CN"/>
              </w:rPr>
              <w:t>7.1资源;</w:t>
            </w:r>
            <w:r>
              <w:rPr>
                <w:rFonts w:hint="eastAsia" w:ascii="宋体" w:hAnsi="宋体" w:eastAsia="宋体" w:cs="宋体"/>
                <w:sz w:val="18"/>
                <w:szCs w:val="18"/>
                <w:highlight w:val="none"/>
                <w:lang w:val="en-US" w:eastAsia="zh-CN"/>
              </w:rPr>
              <w:t>7.3意识；7.4沟通；</w:t>
            </w:r>
            <w:r>
              <w:rPr>
                <w:rFonts w:hint="eastAsia" w:ascii="宋体" w:hAnsi="宋体" w:eastAsia="宋体" w:cs="宋体"/>
                <w:color w:val="auto"/>
                <w:sz w:val="18"/>
                <w:szCs w:val="18"/>
                <w:highlight w:val="none"/>
              </w:rPr>
              <w:t>9.3管理评审；10.1事件、不符合和纠正措施</w:t>
            </w:r>
            <w:r>
              <w:rPr>
                <w:rFonts w:hint="eastAsia" w:ascii="宋体" w:hAnsi="宋体" w:eastAsia="宋体" w:cs="宋体"/>
                <w:color w:val="auto"/>
                <w:sz w:val="18"/>
                <w:szCs w:val="18"/>
                <w:highlight w:val="none"/>
                <w:lang w:eastAsia="zh-CN"/>
              </w:rPr>
              <w:t>；</w:t>
            </w:r>
            <w:r>
              <w:rPr>
                <w:rFonts w:hint="eastAsia" w:ascii="宋体" w:hAnsi="宋体" w:eastAsia="宋体" w:cs="宋体"/>
                <w:sz w:val="18"/>
                <w:szCs w:val="18"/>
                <w:highlight w:val="none"/>
                <w:lang w:val="en-US" w:eastAsia="zh-CN"/>
              </w:rPr>
              <w:t>10.3持续改进</w:t>
            </w:r>
            <w:r>
              <w:rPr>
                <w:rFonts w:hint="eastAsia" w:ascii="宋体" w:hAnsi="宋体" w:eastAsia="宋体" w:cs="宋体"/>
                <w:color w:val="auto"/>
                <w:sz w:val="18"/>
                <w:szCs w:val="18"/>
                <w:highlight w:val="none"/>
                <w:lang w:eastAsia="zh-CN"/>
              </w:rPr>
              <w:t>。</w:t>
            </w:r>
          </w:p>
          <w:p>
            <w:pPr>
              <w:keepLines w:val="0"/>
              <w:pageBreakBefore w:val="0"/>
              <w:tabs>
                <w:tab w:val="left" w:pos="709"/>
              </w:tabs>
              <w:kinsoku/>
              <w:wordWrap/>
              <w:topLinePunct w:val="0"/>
              <w:bidi w:val="0"/>
              <w:spacing w:line="240" w:lineRule="auto"/>
              <w:ind w:right="57"/>
              <w:rPr>
                <w:rFonts w:hint="eastAsia" w:ascii="宋体" w:hAnsi="宋体" w:eastAsia="宋体" w:cs="宋体"/>
                <w:sz w:val="21"/>
                <w:szCs w:val="21"/>
              </w:rPr>
            </w:pPr>
            <w:r>
              <w:rPr>
                <w:rFonts w:hint="eastAsia" w:ascii="宋体" w:hAnsi="宋体" w:eastAsia="宋体" w:cs="宋体"/>
                <w:color w:val="auto"/>
                <w:sz w:val="18"/>
                <w:szCs w:val="18"/>
                <w:highlight w:val="none"/>
              </w:rPr>
              <w:t>范围的确认，资质的确认，法律法规执行情况，投诉或事故/政府主管部门监督抽查情况</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lang w:val="en-US" w:eastAsia="zh-CN"/>
              </w:rPr>
              <w:t>上次审核不符合的验证</w:t>
            </w:r>
            <w:r>
              <w:rPr>
                <w:rFonts w:hint="eastAsia" w:ascii="宋体" w:hAnsi="宋体" w:eastAsia="宋体" w:cs="宋体"/>
                <w:color w:val="auto"/>
                <w:sz w:val="18"/>
                <w:szCs w:val="18"/>
                <w:highlight w:val="none"/>
              </w:rPr>
              <w:t>。</w:t>
            </w:r>
          </w:p>
        </w:tc>
        <w:tc>
          <w:tcPr>
            <w:tcW w:w="646" w:type="dxa"/>
            <w:vMerge w:val="continue"/>
          </w:tcPr>
          <w:p>
            <w:pPr>
              <w:keepLines w:val="0"/>
              <w:pageBreakBefore w:val="0"/>
              <w:kinsoku/>
              <w:wordWrap/>
              <w:topLinePunct w:val="0"/>
              <w:bidi w:val="0"/>
              <w:spacing w:line="24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92" w:type="dxa"/>
            <w:vAlign w:val="center"/>
          </w:tcPr>
          <w:p>
            <w:pPr>
              <w:keepLines w:val="0"/>
              <w:pageBreakBefore w:val="0"/>
              <w:kinsoku/>
              <w:wordWrap/>
              <w:topLinePunct w:val="0"/>
              <w:bidi w:val="0"/>
              <w:spacing w:line="240" w:lineRule="auto"/>
              <w:rPr>
                <w:rFonts w:hint="eastAsia" w:ascii="宋体" w:hAnsi="宋体" w:eastAsia="宋体" w:cs="宋体"/>
                <w:sz w:val="21"/>
                <w:szCs w:val="21"/>
              </w:rPr>
            </w:pPr>
            <w:r>
              <w:rPr>
                <w:rFonts w:hint="eastAsia" w:ascii="宋体" w:hAnsi="宋体" w:eastAsia="宋体" w:cs="宋体"/>
                <w:sz w:val="21"/>
                <w:szCs w:val="21"/>
              </w:rPr>
              <w:t>理解组织及其环境</w:t>
            </w:r>
          </w:p>
          <w:p>
            <w:pPr>
              <w:keepLines w:val="0"/>
              <w:pageBreakBefore w:val="0"/>
              <w:kinsoku/>
              <w:wordWrap/>
              <w:topLinePunct w:val="0"/>
              <w:bidi w:val="0"/>
              <w:spacing w:line="240" w:lineRule="auto"/>
              <w:rPr>
                <w:rFonts w:hint="eastAsia" w:ascii="宋体" w:hAnsi="宋体" w:eastAsia="宋体" w:cs="宋体"/>
                <w:sz w:val="21"/>
                <w:szCs w:val="21"/>
              </w:rPr>
            </w:pPr>
          </w:p>
        </w:tc>
        <w:tc>
          <w:tcPr>
            <w:tcW w:w="1228" w:type="dxa"/>
            <w:vAlign w:val="center"/>
          </w:tcPr>
          <w:p>
            <w:pPr>
              <w:keepLines w:val="0"/>
              <w:pageBreakBefore w:val="0"/>
              <w:kinsoku/>
              <w:wordWrap/>
              <w:topLinePunct w:val="0"/>
              <w:bidi w:val="0"/>
              <w:spacing w:line="240" w:lineRule="auto"/>
              <w:rPr>
                <w:rFonts w:hint="eastAsia" w:ascii="宋体" w:hAnsi="宋体" w:eastAsia="宋体" w:cs="宋体"/>
                <w:sz w:val="21"/>
                <w:szCs w:val="21"/>
              </w:rPr>
            </w:pPr>
            <w:r>
              <w:rPr>
                <w:rFonts w:hint="eastAsia" w:ascii="宋体" w:hAnsi="宋体" w:eastAsia="宋体" w:cs="宋体"/>
                <w:sz w:val="21"/>
                <w:szCs w:val="21"/>
              </w:rPr>
              <w:t>Q</w:t>
            </w:r>
            <w:r>
              <w:rPr>
                <w:rFonts w:hint="eastAsia" w:ascii="宋体" w:hAnsi="宋体" w:eastAsia="宋体" w:cs="宋体"/>
                <w:sz w:val="21"/>
                <w:szCs w:val="21"/>
                <w:lang w:val="en-US" w:eastAsia="zh-CN"/>
              </w:rPr>
              <w:t>EO</w:t>
            </w:r>
            <w:r>
              <w:rPr>
                <w:rFonts w:hint="eastAsia" w:ascii="宋体" w:hAnsi="宋体" w:eastAsia="宋体" w:cs="宋体"/>
                <w:sz w:val="21"/>
                <w:szCs w:val="21"/>
              </w:rPr>
              <w:t>：4.1</w:t>
            </w:r>
          </w:p>
          <w:p>
            <w:pPr>
              <w:keepLines w:val="0"/>
              <w:pageBreakBefore w:val="0"/>
              <w:kinsoku/>
              <w:wordWrap/>
              <w:topLinePunct w:val="0"/>
              <w:bidi w:val="0"/>
              <w:spacing w:line="240" w:lineRule="auto"/>
              <w:rPr>
                <w:rFonts w:hint="eastAsia" w:ascii="宋体" w:hAnsi="宋体" w:eastAsia="宋体" w:cs="宋体"/>
                <w:sz w:val="21"/>
                <w:szCs w:val="21"/>
              </w:rPr>
            </w:pPr>
          </w:p>
        </w:tc>
        <w:tc>
          <w:tcPr>
            <w:tcW w:w="10943" w:type="dxa"/>
            <w:vAlign w:val="center"/>
          </w:tcPr>
          <w:p>
            <w:pPr>
              <w:keepLines w:val="0"/>
              <w:pageBreakBefore w:val="0"/>
              <w:kinsoku/>
              <w:wordWrap/>
              <w:topLinePunct w:val="0"/>
              <w:bidi w:val="0"/>
              <w:spacing w:line="24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公司成立于2014.1.14日，注册地址：天津市北辰区小淀镇小淀村工业区5号路27号，经营地址：天津市北辰区双街镇双进道星江庭苑10号楼1门1901，有租赁合同。</w:t>
            </w:r>
          </w:p>
          <w:p>
            <w:pPr>
              <w:pStyle w:val="16"/>
              <w:keepLines w:val="0"/>
              <w:pageBreakBefore w:val="0"/>
              <w:kinsoku/>
              <w:wordWrap/>
              <w:topLinePunct w:val="0"/>
              <w:bidi w:val="0"/>
              <w:spacing w:before="0" w:after="0" w:line="240" w:lineRule="auto"/>
              <w:ind w:firstLine="460" w:firstLineChars="200"/>
              <w:rPr>
                <w:rFonts w:hint="eastAsia" w:ascii="宋体" w:hAnsi="宋体" w:eastAsia="宋体" w:cs="宋体"/>
                <w:sz w:val="21"/>
                <w:szCs w:val="21"/>
              </w:rPr>
            </w:pPr>
            <w:r>
              <w:rPr>
                <w:rFonts w:hint="eastAsia" w:ascii="宋体" w:hAnsi="宋体" w:eastAsia="宋体" w:cs="宋体"/>
                <w:sz w:val="21"/>
                <w:szCs w:val="21"/>
              </w:rPr>
              <w:t>公司法人兼总经理：郝妍。</w:t>
            </w:r>
          </w:p>
          <w:p>
            <w:pPr>
              <w:keepLines w:val="0"/>
              <w:pageBreakBefore w:val="0"/>
              <w:kinsoku/>
              <w:wordWrap/>
              <w:topLinePunct w:val="0"/>
              <w:bidi w:val="0"/>
              <w:spacing w:line="24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提供《质量/环境/职业健康安全/管理手册》，对公司地理位置、国内市场地位、法律法规要求、公司内部文化观价值观、内外部环境变化等均作出描述。</w:t>
            </w:r>
          </w:p>
          <w:p>
            <w:pPr>
              <w:keepLines w:val="0"/>
              <w:pageBreakBefore w:val="0"/>
              <w:kinsoku/>
              <w:wordWrap/>
              <w:topLinePunct w:val="0"/>
              <w:bidi w:val="0"/>
              <w:spacing w:line="24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公司管理体系设置了行政部、销售部。</w:t>
            </w:r>
          </w:p>
          <w:p>
            <w:pPr>
              <w:keepLines w:val="0"/>
              <w:pageBreakBefore w:val="0"/>
              <w:kinsoku/>
              <w:wordWrap/>
              <w:topLinePunct w:val="0"/>
              <w:bidi w:val="0"/>
              <w:spacing w:line="240" w:lineRule="auto"/>
              <w:jc w:val="left"/>
              <w:rPr>
                <w:rFonts w:hint="eastAsia" w:ascii="宋体" w:hAnsi="宋体" w:eastAsia="宋体" w:cs="宋体"/>
                <w:sz w:val="21"/>
                <w:szCs w:val="21"/>
              </w:rPr>
            </w:pPr>
            <w:r>
              <w:rPr>
                <w:rFonts w:hint="eastAsia" w:ascii="宋体" w:hAnsi="宋体" w:eastAsia="宋体" w:cs="宋体"/>
                <w:sz w:val="21"/>
                <w:szCs w:val="21"/>
              </w:rPr>
              <w:t>总经理说：公司推行管理体系的目的就是提高公司市场准入。总经理确定与本公司管理目标和战略方向相关并影响实现管理体系预期结果的各种内部因素和外部因素（国际、国家、地区和当地的各种法律法规、技术、竞争、文化和社会因素等）。这些因素包括了需要考虑的正面和负面因素或条件。公司每年办公室根据由公司销售人员从市场、客户、网络等搜集到的信息并结合公司自身业务运作情况进行分析，通过分析对这些内部和外部因素的相关信息进行监视和评审以确保其充分和适宜。</w:t>
            </w:r>
          </w:p>
        </w:tc>
        <w:tc>
          <w:tcPr>
            <w:tcW w:w="646" w:type="dxa"/>
          </w:tcPr>
          <w:p>
            <w:pPr>
              <w:keepLines w:val="0"/>
              <w:pageBreakBefore w:val="0"/>
              <w:kinsoku/>
              <w:wordWrap/>
              <w:topLinePunct w:val="0"/>
              <w:bidi w:val="0"/>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92" w:type="dxa"/>
            <w:vAlign w:val="center"/>
          </w:tcPr>
          <w:p>
            <w:pPr>
              <w:keepLines w:val="0"/>
              <w:pageBreakBefore w:val="0"/>
              <w:kinsoku/>
              <w:wordWrap/>
              <w:topLinePunct w:val="0"/>
              <w:bidi w:val="0"/>
              <w:spacing w:line="240" w:lineRule="auto"/>
              <w:rPr>
                <w:rFonts w:hint="eastAsia" w:ascii="宋体" w:hAnsi="宋体" w:eastAsia="宋体" w:cs="宋体"/>
                <w:sz w:val="21"/>
                <w:szCs w:val="21"/>
              </w:rPr>
            </w:pPr>
            <w:r>
              <w:rPr>
                <w:rFonts w:hint="eastAsia" w:ascii="宋体" w:hAnsi="宋体" w:eastAsia="宋体" w:cs="宋体"/>
                <w:sz w:val="21"/>
                <w:szCs w:val="21"/>
              </w:rPr>
              <w:t>理解相关方的需求和期望</w:t>
            </w:r>
          </w:p>
        </w:tc>
        <w:tc>
          <w:tcPr>
            <w:tcW w:w="1228" w:type="dxa"/>
            <w:vAlign w:val="center"/>
          </w:tcPr>
          <w:p>
            <w:pPr>
              <w:keepLines w:val="0"/>
              <w:pageBreakBefore w:val="0"/>
              <w:kinsoku/>
              <w:wordWrap/>
              <w:topLinePunct w:val="0"/>
              <w:bidi w:val="0"/>
              <w:spacing w:line="240" w:lineRule="auto"/>
              <w:rPr>
                <w:rFonts w:hint="eastAsia" w:ascii="宋体" w:hAnsi="宋体" w:eastAsia="宋体" w:cs="宋体"/>
                <w:sz w:val="21"/>
                <w:szCs w:val="21"/>
              </w:rPr>
            </w:pPr>
            <w:r>
              <w:rPr>
                <w:rFonts w:hint="eastAsia" w:ascii="宋体" w:hAnsi="宋体" w:eastAsia="宋体" w:cs="宋体"/>
                <w:sz w:val="21"/>
                <w:szCs w:val="21"/>
              </w:rPr>
              <w:t>Q</w:t>
            </w:r>
            <w:r>
              <w:rPr>
                <w:rFonts w:hint="eastAsia" w:ascii="宋体" w:hAnsi="宋体" w:eastAsia="宋体" w:cs="宋体"/>
                <w:sz w:val="21"/>
                <w:szCs w:val="21"/>
                <w:lang w:val="en-US" w:eastAsia="zh-CN"/>
              </w:rPr>
              <w:t>EO</w:t>
            </w:r>
            <w:r>
              <w:rPr>
                <w:rFonts w:hint="eastAsia" w:ascii="宋体" w:hAnsi="宋体" w:eastAsia="宋体" w:cs="宋体"/>
                <w:sz w:val="21"/>
                <w:szCs w:val="21"/>
              </w:rPr>
              <w:t>：4.2</w:t>
            </w:r>
          </w:p>
        </w:tc>
        <w:tc>
          <w:tcPr>
            <w:tcW w:w="10943" w:type="dxa"/>
            <w:vAlign w:val="center"/>
          </w:tcPr>
          <w:p>
            <w:pPr>
              <w:keepLines w:val="0"/>
              <w:pageBreakBefore w:val="0"/>
              <w:kinsoku/>
              <w:wordWrap/>
              <w:topLinePunct w:val="0"/>
              <w:bidi w:val="0"/>
              <w:spacing w:line="240" w:lineRule="auto"/>
              <w:rPr>
                <w:rFonts w:hint="eastAsia" w:ascii="宋体" w:hAnsi="宋体" w:eastAsia="宋体" w:cs="宋体"/>
                <w:sz w:val="21"/>
                <w:szCs w:val="21"/>
              </w:rPr>
            </w:pPr>
            <w:r>
              <w:rPr>
                <w:rFonts w:hint="eastAsia" w:ascii="宋体" w:hAnsi="宋体" w:eastAsia="宋体" w:cs="宋体"/>
                <w:sz w:val="21"/>
                <w:szCs w:val="21"/>
              </w:rPr>
              <w:t>提供了《组织的相关方需求和期望调查表》，相关方包括顾客、供方、员工、政府部门、审核机构、股东等。相关方需求和期望：检测能力符合顾客要求、及时交货、价格合理；合作双赢、进料合格率、、及时付款； 薪资、福利增加、培训机会、有发展的空间；安全生产、环保；公司体系运作的有效性、充分性和符合性；公司战略、绩效等；检测指标或项目：顾客满意度、客户投诉率、交期变更率；供方评价表、采购产品合格率；工资、晋升制度；基本识别了与组织管理体系有关的相关方和要求</w:t>
            </w:r>
            <w:r>
              <w:rPr>
                <w:rFonts w:hint="eastAsia" w:ascii="宋体" w:hAnsi="宋体" w:eastAsia="宋体" w:cs="宋体"/>
                <w:sz w:val="21"/>
                <w:szCs w:val="21"/>
                <w:lang w:val="zh-CN"/>
              </w:rPr>
              <w:t>。</w:t>
            </w:r>
            <w:r>
              <w:rPr>
                <w:rFonts w:hint="eastAsia" w:ascii="宋体" w:hAnsi="宋体" w:eastAsia="宋体" w:cs="宋体"/>
                <w:sz w:val="21"/>
                <w:szCs w:val="21"/>
              </w:rPr>
              <w:t>公司对这些相关方及其要求的相关信息进行制定责任部门制定每年进行一次评审，以便于理解和持续满足相关方的需求和期望。</w:t>
            </w:r>
          </w:p>
          <w:p>
            <w:pPr>
              <w:keepLines w:val="0"/>
              <w:pageBreakBefore w:val="0"/>
              <w:kinsoku/>
              <w:wordWrap/>
              <w:topLinePunct w:val="0"/>
              <w:bidi w:val="0"/>
              <w:spacing w:line="240" w:lineRule="auto"/>
              <w:rPr>
                <w:rFonts w:hint="eastAsia" w:ascii="宋体" w:hAnsi="宋体" w:eastAsia="宋体" w:cs="宋体"/>
                <w:sz w:val="21"/>
                <w:szCs w:val="21"/>
              </w:rPr>
            </w:pPr>
            <w:r>
              <w:rPr>
                <w:rFonts w:hint="eastAsia" w:ascii="宋体" w:hAnsi="宋体" w:eastAsia="宋体" w:cs="宋体"/>
                <w:sz w:val="21"/>
                <w:szCs w:val="21"/>
              </w:rPr>
              <w:t>本公司考虑以下相关方：--顾客；--最终用户或受益人；股东；---外部供应商；--雇员及其他为组织工作者；--法律法规及监管机关；--地方社区团体；--非政府组织等。</w:t>
            </w:r>
          </w:p>
          <w:p>
            <w:pPr>
              <w:keepLines w:val="0"/>
              <w:pageBreakBefore w:val="0"/>
              <w:kinsoku/>
              <w:wordWrap/>
              <w:topLinePunct w:val="0"/>
              <w:bidi w:val="0"/>
              <w:spacing w:line="240" w:lineRule="auto"/>
              <w:rPr>
                <w:rFonts w:hint="eastAsia" w:ascii="宋体" w:hAnsi="宋体" w:eastAsia="宋体" w:cs="宋体"/>
                <w:sz w:val="21"/>
                <w:szCs w:val="21"/>
              </w:rPr>
            </w:pPr>
            <w:r>
              <w:rPr>
                <w:rFonts w:hint="eastAsia" w:ascii="宋体" w:hAnsi="宋体" w:eastAsia="宋体" w:cs="宋体"/>
                <w:sz w:val="21"/>
                <w:szCs w:val="21"/>
              </w:rPr>
              <w:t>目前顾客的主要需求期望是：提供顾客满意的生产产品和销售产品和服务。</w:t>
            </w:r>
          </w:p>
        </w:tc>
        <w:tc>
          <w:tcPr>
            <w:tcW w:w="646" w:type="dxa"/>
          </w:tcPr>
          <w:p>
            <w:pPr>
              <w:keepLines w:val="0"/>
              <w:pageBreakBefore w:val="0"/>
              <w:kinsoku/>
              <w:wordWrap/>
              <w:topLinePunct w:val="0"/>
              <w:bidi w:val="0"/>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92" w:type="dxa"/>
            <w:vAlign w:val="center"/>
          </w:tcPr>
          <w:p>
            <w:pPr>
              <w:keepLines w:val="0"/>
              <w:pageBreakBefore w:val="0"/>
              <w:kinsoku/>
              <w:wordWrap/>
              <w:topLinePunct w:val="0"/>
              <w:bidi w:val="0"/>
              <w:spacing w:line="240" w:lineRule="auto"/>
              <w:rPr>
                <w:rFonts w:hint="eastAsia" w:ascii="宋体" w:hAnsi="宋体" w:eastAsia="宋体" w:cs="宋体"/>
                <w:sz w:val="21"/>
                <w:szCs w:val="21"/>
              </w:rPr>
            </w:pPr>
            <w:r>
              <w:rPr>
                <w:rFonts w:hint="eastAsia" w:ascii="宋体" w:hAnsi="宋体" w:eastAsia="宋体" w:cs="宋体"/>
                <w:sz w:val="21"/>
                <w:szCs w:val="21"/>
              </w:rPr>
              <w:t>质量管理体系的范围</w:t>
            </w:r>
          </w:p>
        </w:tc>
        <w:tc>
          <w:tcPr>
            <w:tcW w:w="1228" w:type="dxa"/>
            <w:vAlign w:val="center"/>
          </w:tcPr>
          <w:p>
            <w:pPr>
              <w:keepLines w:val="0"/>
              <w:pageBreakBefore w:val="0"/>
              <w:kinsoku/>
              <w:wordWrap/>
              <w:topLinePunct w:val="0"/>
              <w:bidi w:val="0"/>
              <w:spacing w:line="240" w:lineRule="auto"/>
              <w:rPr>
                <w:rFonts w:hint="eastAsia" w:ascii="宋体" w:hAnsi="宋体" w:eastAsia="宋体" w:cs="宋体"/>
                <w:sz w:val="21"/>
                <w:szCs w:val="21"/>
              </w:rPr>
            </w:pPr>
            <w:r>
              <w:rPr>
                <w:rFonts w:hint="eastAsia" w:ascii="宋体" w:hAnsi="宋体" w:eastAsia="宋体" w:cs="宋体"/>
                <w:sz w:val="21"/>
                <w:szCs w:val="21"/>
              </w:rPr>
              <w:t>Q</w:t>
            </w:r>
            <w:r>
              <w:rPr>
                <w:rFonts w:hint="eastAsia" w:ascii="宋体" w:hAnsi="宋体" w:eastAsia="宋体" w:cs="宋体"/>
                <w:sz w:val="21"/>
                <w:szCs w:val="21"/>
                <w:lang w:val="en-US" w:eastAsia="zh-CN"/>
              </w:rPr>
              <w:t>EO</w:t>
            </w:r>
            <w:r>
              <w:rPr>
                <w:rFonts w:hint="eastAsia" w:ascii="宋体" w:hAnsi="宋体" w:eastAsia="宋体" w:cs="宋体"/>
                <w:sz w:val="21"/>
                <w:szCs w:val="21"/>
              </w:rPr>
              <w:t>：4.3</w:t>
            </w:r>
          </w:p>
        </w:tc>
        <w:tc>
          <w:tcPr>
            <w:tcW w:w="10943" w:type="dxa"/>
            <w:vAlign w:val="center"/>
          </w:tcPr>
          <w:p>
            <w:pPr>
              <w:keepLines w:val="0"/>
              <w:pageBreakBefore w:val="0"/>
              <w:kinsoku/>
              <w:wordWrap/>
              <w:topLinePunct w:val="0"/>
              <w:bidi w:val="0"/>
              <w:spacing w:line="240" w:lineRule="auto"/>
              <w:jc w:val="left"/>
              <w:rPr>
                <w:rFonts w:hint="eastAsia" w:ascii="宋体" w:hAnsi="宋体" w:eastAsia="宋体" w:cs="宋体"/>
                <w:sz w:val="21"/>
                <w:szCs w:val="21"/>
              </w:rPr>
            </w:pPr>
            <w:r>
              <w:rPr>
                <w:rFonts w:hint="eastAsia" w:ascii="宋体" w:hAnsi="宋体" w:eastAsia="宋体" w:cs="宋体"/>
                <w:sz w:val="21"/>
                <w:szCs w:val="21"/>
              </w:rPr>
              <w:t>经确认企业的管理体系范围是：</w:t>
            </w:r>
          </w:p>
          <w:p>
            <w:pPr>
              <w:keepLines w:val="0"/>
              <w:pageBreakBefore w:val="0"/>
              <w:kinsoku/>
              <w:wordWrap/>
              <w:topLinePunct w:val="0"/>
              <w:bidi w:val="0"/>
              <w:spacing w:line="240" w:lineRule="auto"/>
              <w:rPr>
                <w:rFonts w:hint="eastAsia" w:ascii="宋体" w:hAnsi="宋体" w:eastAsia="宋体" w:cs="宋体"/>
                <w:sz w:val="21"/>
                <w:szCs w:val="21"/>
              </w:rPr>
            </w:pPr>
            <w:bookmarkStart w:id="0" w:name="审核范围"/>
            <w:r>
              <w:rPr>
                <w:rFonts w:hint="eastAsia" w:ascii="宋体" w:hAnsi="宋体" w:eastAsia="宋体" w:cs="宋体"/>
                <w:sz w:val="21"/>
                <w:szCs w:val="21"/>
              </w:rPr>
              <w:t>Q：教学仪器、实验室设备、音体美器材、课桌椅、办公家具、办公用品、窗帘、环保设备、多媒体设备、厨房设备、科技馆设备、电子琴、秒表、舞台设备的销售</w:t>
            </w:r>
          </w:p>
          <w:p>
            <w:pPr>
              <w:keepLines w:val="0"/>
              <w:pageBreakBefore w:val="0"/>
              <w:kinsoku/>
              <w:wordWrap/>
              <w:topLinePunct w:val="0"/>
              <w:bidi w:val="0"/>
              <w:spacing w:line="240" w:lineRule="auto"/>
              <w:rPr>
                <w:rFonts w:hint="eastAsia" w:ascii="宋体" w:hAnsi="宋体" w:eastAsia="宋体" w:cs="宋体"/>
                <w:sz w:val="21"/>
                <w:szCs w:val="21"/>
              </w:rPr>
            </w:pPr>
            <w:r>
              <w:rPr>
                <w:rFonts w:hint="eastAsia" w:ascii="宋体" w:hAnsi="宋体" w:eastAsia="宋体" w:cs="宋体"/>
                <w:sz w:val="21"/>
                <w:szCs w:val="21"/>
              </w:rPr>
              <w:t>E：教学仪器、实验室设备、音体美器材、课桌椅、办公家具、办公用品、窗帘、环保设备、多媒体设备、厨房设备、科技馆设备、电子琴、秒表、舞台设备的销售所涉及场所的相关环境管理活动</w:t>
            </w:r>
          </w:p>
          <w:p>
            <w:pPr>
              <w:keepLines w:val="0"/>
              <w:pageBreakBefore w:val="0"/>
              <w:kinsoku/>
              <w:wordWrap/>
              <w:topLinePunct w:val="0"/>
              <w:bidi w:val="0"/>
              <w:spacing w:line="240" w:lineRule="auto"/>
              <w:rPr>
                <w:rFonts w:hint="eastAsia" w:ascii="宋体" w:hAnsi="宋体" w:eastAsia="宋体" w:cs="宋体"/>
                <w:sz w:val="21"/>
                <w:szCs w:val="21"/>
              </w:rPr>
            </w:pPr>
            <w:r>
              <w:rPr>
                <w:rFonts w:hint="eastAsia" w:ascii="宋体" w:hAnsi="宋体" w:eastAsia="宋体" w:cs="宋体"/>
                <w:sz w:val="21"/>
                <w:szCs w:val="21"/>
              </w:rPr>
              <w:t>O：教学仪器、实验室设备、音体美器材、课桌椅、办公家具、办公用品、窗帘、环保设备、多媒体设备、厨房设备、科技馆设备、电子琴、秒表、舞台设备的销售所涉及场所的相关职业健康安全管理活动</w:t>
            </w:r>
            <w:bookmarkEnd w:id="0"/>
          </w:p>
          <w:p>
            <w:pPr>
              <w:keepLines w:val="0"/>
              <w:pageBreakBefore w:val="0"/>
              <w:kinsoku/>
              <w:wordWrap/>
              <w:topLinePunct w:val="0"/>
              <w:bidi w:val="0"/>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不适用情况：Q8.3条款不适用。</w:t>
            </w:r>
          </w:p>
          <w:p>
            <w:pPr>
              <w:pStyle w:val="4"/>
              <w:keepLines w:val="0"/>
              <w:pageBreakBefore w:val="0"/>
              <w:kinsoku/>
              <w:wordWrap/>
              <w:topLinePunct w:val="0"/>
              <w:bidi w:val="0"/>
              <w:spacing w:line="240" w:lineRule="auto"/>
              <w:ind w:firstLine="420" w:firstLineChars="200"/>
              <w:jc w:val="both"/>
              <w:rPr>
                <w:rFonts w:hint="eastAsia" w:ascii="宋体" w:hAnsi="宋体" w:eastAsia="宋体" w:cs="宋体"/>
                <w:sz w:val="21"/>
                <w:szCs w:val="21"/>
              </w:rPr>
            </w:pPr>
            <w:r>
              <w:rPr>
                <w:rFonts w:hint="eastAsia" w:ascii="宋体" w:hAnsi="宋体" w:eastAsia="宋体" w:cs="宋体"/>
                <w:kern w:val="2"/>
                <w:sz w:val="21"/>
                <w:szCs w:val="21"/>
              </w:rPr>
              <w:t>外包情况：无。</w:t>
            </w:r>
          </w:p>
        </w:tc>
        <w:tc>
          <w:tcPr>
            <w:tcW w:w="646" w:type="dxa"/>
            <w:vAlign w:val="top"/>
          </w:tcPr>
          <w:p>
            <w:pPr>
              <w:keepLines w:val="0"/>
              <w:pageBreakBefore w:val="0"/>
              <w:kinsoku/>
              <w:wordWrap/>
              <w:topLinePunct w:val="0"/>
              <w:bidi w:val="0"/>
              <w:spacing w:line="24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92" w:type="dxa"/>
            <w:vAlign w:val="center"/>
          </w:tcPr>
          <w:p>
            <w:pPr>
              <w:keepLines w:val="0"/>
              <w:pageBreakBefore w:val="0"/>
              <w:kinsoku/>
              <w:wordWrap/>
              <w:topLinePunct w:val="0"/>
              <w:bidi w:val="0"/>
              <w:spacing w:line="240" w:lineRule="auto"/>
              <w:rPr>
                <w:rFonts w:hint="eastAsia" w:ascii="宋体" w:hAnsi="宋体" w:eastAsia="宋体" w:cs="宋体"/>
                <w:sz w:val="21"/>
                <w:szCs w:val="21"/>
              </w:rPr>
            </w:pPr>
            <w:r>
              <w:rPr>
                <w:rFonts w:hint="eastAsia" w:ascii="宋体" w:hAnsi="宋体" w:eastAsia="宋体" w:cs="宋体"/>
                <w:sz w:val="21"/>
                <w:szCs w:val="21"/>
              </w:rPr>
              <w:t>质量管理体系及其过程</w:t>
            </w:r>
          </w:p>
        </w:tc>
        <w:tc>
          <w:tcPr>
            <w:tcW w:w="1228" w:type="dxa"/>
            <w:vAlign w:val="center"/>
          </w:tcPr>
          <w:p>
            <w:pPr>
              <w:keepLines w:val="0"/>
              <w:pageBreakBefore w:val="0"/>
              <w:kinsoku/>
              <w:wordWrap/>
              <w:topLinePunct w:val="0"/>
              <w:bidi w:val="0"/>
              <w:spacing w:line="240" w:lineRule="auto"/>
              <w:rPr>
                <w:rFonts w:hint="eastAsia" w:ascii="宋体" w:hAnsi="宋体" w:eastAsia="宋体" w:cs="宋体"/>
                <w:sz w:val="21"/>
                <w:szCs w:val="21"/>
              </w:rPr>
            </w:pPr>
            <w:r>
              <w:rPr>
                <w:rFonts w:hint="eastAsia" w:ascii="宋体" w:hAnsi="宋体" w:eastAsia="宋体" w:cs="宋体"/>
                <w:sz w:val="21"/>
                <w:szCs w:val="21"/>
              </w:rPr>
              <w:t>Q</w:t>
            </w:r>
            <w:r>
              <w:rPr>
                <w:rFonts w:hint="eastAsia" w:ascii="宋体" w:hAnsi="宋体" w:eastAsia="宋体" w:cs="宋体"/>
                <w:sz w:val="21"/>
                <w:szCs w:val="21"/>
                <w:lang w:val="en-US" w:eastAsia="zh-CN"/>
              </w:rPr>
              <w:t>EO</w:t>
            </w:r>
            <w:r>
              <w:rPr>
                <w:rFonts w:hint="eastAsia" w:ascii="宋体" w:hAnsi="宋体" w:eastAsia="宋体" w:cs="宋体"/>
                <w:sz w:val="21"/>
                <w:szCs w:val="21"/>
              </w:rPr>
              <w:t>：4.4</w:t>
            </w:r>
          </w:p>
        </w:tc>
        <w:tc>
          <w:tcPr>
            <w:tcW w:w="10943" w:type="dxa"/>
            <w:vAlign w:val="center"/>
          </w:tcPr>
          <w:p>
            <w:pPr>
              <w:keepLines w:val="0"/>
              <w:pageBreakBefore w:val="0"/>
              <w:kinsoku/>
              <w:wordWrap/>
              <w:topLinePunct w:val="0"/>
              <w:bidi w:val="0"/>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公司按照标准建立了文件化的管理体系，编写了管理手册、程序文件、三级文件，文件中包括了QEO方针、目标, 对各部门的职责权限作出了规定，公司管理体系已确定了过程、各过程的顺序、过程的评价、实施所需的变更等，并能规定过程及质量管理体系监视、测量、分析、改进的职责权限分配等策划，同时考虑了内外部因素和相关方的要求，确定了需应对的风险和机遇。</w:t>
            </w:r>
          </w:p>
          <w:p>
            <w:pPr>
              <w:keepLines w:val="0"/>
              <w:pageBreakBefore w:val="0"/>
              <w:kinsoku/>
              <w:wordWrap/>
              <w:topLinePunct w:val="0"/>
              <w:bidi w:val="0"/>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公司文件适宜，符合公司规模、人员能力、过程及其相互作用的复杂程度。基本符合标准要求。</w:t>
            </w:r>
          </w:p>
          <w:p>
            <w:pPr>
              <w:keepLines w:val="0"/>
              <w:pageBreakBefore w:val="0"/>
              <w:kinsoku/>
              <w:wordWrap/>
              <w:topLinePunct w:val="0"/>
              <w:bidi w:val="0"/>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公司确保按照标准的要求，建立、实施、保持和持续改进质量管理体系，包括所需过程及其相互作用。公司确定质量管理体系所需的过程及其在整个组织中的应用。</w:t>
            </w:r>
          </w:p>
        </w:tc>
        <w:tc>
          <w:tcPr>
            <w:tcW w:w="646" w:type="dxa"/>
            <w:vAlign w:val="top"/>
          </w:tcPr>
          <w:p>
            <w:pPr>
              <w:keepLines w:val="0"/>
              <w:pageBreakBefore w:val="0"/>
              <w:kinsoku/>
              <w:wordWrap/>
              <w:topLinePunct w:val="0"/>
              <w:bidi w:val="0"/>
              <w:spacing w:line="24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92" w:type="dxa"/>
            <w:vAlign w:val="center"/>
          </w:tcPr>
          <w:p>
            <w:pPr>
              <w:keepLines w:val="0"/>
              <w:pageBreakBefore w:val="0"/>
              <w:kinsoku/>
              <w:wordWrap/>
              <w:topLinePunct w:val="0"/>
              <w:bidi w:val="0"/>
              <w:spacing w:line="240" w:lineRule="auto"/>
              <w:rPr>
                <w:rFonts w:hint="eastAsia" w:ascii="宋体" w:hAnsi="宋体" w:eastAsia="宋体" w:cs="宋体"/>
                <w:sz w:val="21"/>
                <w:szCs w:val="21"/>
              </w:rPr>
            </w:pPr>
          </w:p>
          <w:p>
            <w:pPr>
              <w:keepLines w:val="0"/>
              <w:pageBreakBefore w:val="0"/>
              <w:kinsoku/>
              <w:wordWrap/>
              <w:topLinePunct w:val="0"/>
              <w:bidi w:val="0"/>
              <w:spacing w:line="240" w:lineRule="auto"/>
              <w:rPr>
                <w:rFonts w:hint="eastAsia" w:ascii="宋体" w:hAnsi="宋体" w:eastAsia="宋体" w:cs="宋体"/>
                <w:sz w:val="21"/>
                <w:szCs w:val="21"/>
              </w:rPr>
            </w:pPr>
          </w:p>
          <w:p>
            <w:pPr>
              <w:keepLines w:val="0"/>
              <w:pageBreakBefore w:val="0"/>
              <w:kinsoku/>
              <w:wordWrap/>
              <w:topLinePunct w:val="0"/>
              <w:bidi w:val="0"/>
              <w:spacing w:line="240" w:lineRule="auto"/>
              <w:rPr>
                <w:rFonts w:hint="eastAsia" w:ascii="宋体" w:hAnsi="宋体" w:eastAsia="宋体" w:cs="宋体"/>
                <w:sz w:val="21"/>
                <w:szCs w:val="21"/>
              </w:rPr>
            </w:pPr>
          </w:p>
          <w:p>
            <w:pPr>
              <w:keepLines w:val="0"/>
              <w:pageBreakBefore w:val="0"/>
              <w:kinsoku/>
              <w:wordWrap/>
              <w:topLinePunct w:val="0"/>
              <w:bidi w:val="0"/>
              <w:spacing w:line="240" w:lineRule="auto"/>
              <w:rPr>
                <w:rFonts w:hint="eastAsia" w:ascii="宋体" w:hAnsi="宋体" w:eastAsia="宋体" w:cs="宋体"/>
                <w:sz w:val="21"/>
                <w:szCs w:val="21"/>
              </w:rPr>
            </w:pPr>
            <w:r>
              <w:rPr>
                <w:rFonts w:hint="eastAsia" w:ascii="宋体" w:hAnsi="宋体" w:eastAsia="宋体" w:cs="宋体"/>
                <w:sz w:val="21"/>
                <w:szCs w:val="21"/>
              </w:rPr>
              <w:t>领导作用与承诺</w:t>
            </w:r>
          </w:p>
          <w:p>
            <w:pPr>
              <w:keepLines w:val="0"/>
              <w:pageBreakBefore w:val="0"/>
              <w:kinsoku/>
              <w:wordWrap/>
              <w:topLinePunct w:val="0"/>
              <w:bidi w:val="0"/>
              <w:spacing w:line="240" w:lineRule="auto"/>
              <w:rPr>
                <w:rFonts w:hint="eastAsia" w:ascii="宋体" w:hAnsi="宋体" w:eastAsia="宋体" w:cs="宋体"/>
                <w:sz w:val="21"/>
                <w:szCs w:val="21"/>
              </w:rPr>
            </w:pPr>
          </w:p>
        </w:tc>
        <w:tc>
          <w:tcPr>
            <w:tcW w:w="1228" w:type="dxa"/>
            <w:vAlign w:val="center"/>
          </w:tcPr>
          <w:p>
            <w:pPr>
              <w:keepLines w:val="0"/>
              <w:pageBreakBefore w:val="0"/>
              <w:kinsoku/>
              <w:wordWrap/>
              <w:topLinePunct w:val="0"/>
              <w:bidi w:val="0"/>
              <w:spacing w:line="240" w:lineRule="auto"/>
              <w:rPr>
                <w:rFonts w:hint="eastAsia" w:ascii="宋体" w:hAnsi="宋体" w:eastAsia="宋体" w:cs="宋体"/>
                <w:sz w:val="21"/>
                <w:szCs w:val="21"/>
              </w:rPr>
            </w:pPr>
          </w:p>
          <w:p>
            <w:pPr>
              <w:keepLines w:val="0"/>
              <w:pageBreakBefore w:val="0"/>
              <w:kinsoku/>
              <w:wordWrap/>
              <w:topLinePunct w:val="0"/>
              <w:bidi w:val="0"/>
              <w:spacing w:line="240" w:lineRule="auto"/>
              <w:rPr>
                <w:rFonts w:hint="eastAsia" w:ascii="宋体" w:hAnsi="宋体" w:eastAsia="宋体" w:cs="宋体"/>
                <w:sz w:val="21"/>
                <w:szCs w:val="21"/>
              </w:rPr>
            </w:pPr>
          </w:p>
          <w:p>
            <w:pPr>
              <w:keepLines w:val="0"/>
              <w:pageBreakBefore w:val="0"/>
              <w:kinsoku/>
              <w:wordWrap/>
              <w:topLinePunct w:val="0"/>
              <w:bidi w:val="0"/>
              <w:spacing w:line="240" w:lineRule="auto"/>
              <w:rPr>
                <w:rFonts w:hint="eastAsia" w:ascii="宋体" w:hAnsi="宋体" w:eastAsia="宋体" w:cs="宋体"/>
                <w:sz w:val="21"/>
                <w:szCs w:val="21"/>
              </w:rPr>
            </w:pPr>
            <w:r>
              <w:rPr>
                <w:rFonts w:hint="eastAsia" w:ascii="宋体" w:hAnsi="宋体" w:eastAsia="宋体" w:cs="宋体"/>
                <w:sz w:val="21"/>
                <w:szCs w:val="21"/>
              </w:rPr>
              <w:t>Q</w:t>
            </w:r>
            <w:r>
              <w:rPr>
                <w:rFonts w:hint="eastAsia" w:ascii="宋体" w:hAnsi="宋体" w:eastAsia="宋体" w:cs="宋体"/>
                <w:sz w:val="21"/>
                <w:szCs w:val="21"/>
                <w:lang w:val="en-US" w:eastAsia="zh-CN"/>
              </w:rPr>
              <w:t>EO</w:t>
            </w:r>
            <w:r>
              <w:rPr>
                <w:rFonts w:hint="eastAsia" w:ascii="宋体" w:hAnsi="宋体" w:eastAsia="宋体" w:cs="宋体"/>
                <w:sz w:val="21"/>
                <w:szCs w:val="21"/>
              </w:rPr>
              <w:t>：5.1</w:t>
            </w:r>
          </w:p>
        </w:tc>
        <w:tc>
          <w:tcPr>
            <w:tcW w:w="10943" w:type="dxa"/>
            <w:vAlign w:val="center"/>
          </w:tcPr>
          <w:p>
            <w:pPr>
              <w:keepLines w:val="0"/>
              <w:pageBreakBefore w:val="0"/>
              <w:kinsoku/>
              <w:wordWrap/>
              <w:topLinePunct w:val="0"/>
              <w:bidi w:val="0"/>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通过管理评审、内部审核及有效实施纠正、改进措施等方法来有效完善和持续发展公司的管理体系。公司总经理是郝妍，主要承诺有：</w:t>
            </w:r>
          </w:p>
          <w:p>
            <w:pPr>
              <w:keepLines w:val="0"/>
              <w:pageBreakBefore w:val="0"/>
              <w:kinsoku/>
              <w:wordWrap/>
              <w:topLinePunct w:val="0"/>
              <w:bidi w:val="0"/>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1)对公司的质量、环境和职业健康安全管理体系的有效性承担责任；</w:t>
            </w:r>
          </w:p>
          <w:p>
            <w:pPr>
              <w:keepLines w:val="0"/>
              <w:pageBreakBefore w:val="0"/>
              <w:kinsoku/>
              <w:wordWrap/>
              <w:topLinePunct w:val="0"/>
              <w:bidi w:val="0"/>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2)确保公司管理方针和目标的建立,并确保其与公司的战略方向及所处的环境相一致；</w:t>
            </w:r>
          </w:p>
          <w:p>
            <w:pPr>
              <w:keepLines w:val="0"/>
              <w:pageBreakBefore w:val="0"/>
              <w:kinsoku/>
              <w:wordWrap/>
              <w:topLinePunct w:val="0"/>
              <w:bidi w:val="0"/>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3)确保公司质量、环境和职业健康安全管理体系要求融入到公司的各种业务过程；</w:t>
            </w:r>
          </w:p>
          <w:p>
            <w:pPr>
              <w:keepLines w:val="0"/>
              <w:pageBreakBefore w:val="0"/>
              <w:kinsoku/>
              <w:wordWrap/>
              <w:topLinePunct w:val="0"/>
              <w:bidi w:val="0"/>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4)确保获得公司质量、环境和职业健康安全管理体系所需的资源；</w:t>
            </w:r>
          </w:p>
          <w:p>
            <w:pPr>
              <w:keepLines w:val="0"/>
              <w:pageBreakBefore w:val="0"/>
              <w:kinsoku/>
              <w:wordWrap/>
              <w:topLinePunct w:val="0"/>
              <w:bidi w:val="0"/>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5)就有效的质量、环境和职业健康安全管理重要性和符合其管理体系要求的重要性进行沟通；</w:t>
            </w:r>
          </w:p>
          <w:p>
            <w:pPr>
              <w:keepLines w:val="0"/>
              <w:pageBreakBefore w:val="0"/>
              <w:kinsoku/>
              <w:wordWrap/>
              <w:topLinePunct w:val="0"/>
              <w:bidi w:val="0"/>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6)确保公司的质量、环境和职业健康安全管理体系使用过程方法和基于风险的思维；</w:t>
            </w:r>
          </w:p>
          <w:p>
            <w:pPr>
              <w:keepLines w:val="0"/>
              <w:pageBreakBefore w:val="0"/>
              <w:kinsoku/>
              <w:wordWrap/>
              <w:topLinePunct w:val="0"/>
              <w:bidi w:val="0"/>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7)确保公司质量、环境和职业健康安全管理体系的预期结果；</w:t>
            </w:r>
          </w:p>
          <w:p>
            <w:pPr>
              <w:keepLines w:val="0"/>
              <w:pageBreakBefore w:val="0"/>
              <w:kinsoku/>
              <w:wordWrap/>
              <w:topLinePunct w:val="0"/>
              <w:bidi w:val="0"/>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8)促使、指导和支持员工努力提高管理体系的有效性，并对管理体系的有效性做出贡献；</w:t>
            </w:r>
          </w:p>
          <w:p>
            <w:pPr>
              <w:keepLines w:val="0"/>
              <w:pageBreakBefore w:val="0"/>
              <w:kinsoku/>
              <w:wordWrap/>
              <w:topLinePunct w:val="0"/>
              <w:bidi w:val="0"/>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9)推动质量、环境和职业健康安全管理体系的改进；</w:t>
            </w:r>
          </w:p>
          <w:p>
            <w:pPr>
              <w:keepLines w:val="0"/>
              <w:pageBreakBefore w:val="0"/>
              <w:kinsoku/>
              <w:wordWrap/>
              <w:topLinePunct w:val="0"/>
              <w:bidi w:val="0"/>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10)支持其他管理者履行其相关领域的职责。</w:t>
            </w:r>
          </w:p>
        </w:tc>
        <w:tc>
          <w:tcPr>
            <w:tcW w:w="646" w:type="dxa"/>
            <w:vAlign w:val="top"/>
          </w:tcPr>
          <w:p>
            <w:pPr>
              <w:keepLines w:val="0"/>
              <w:pageBreakBefore w:val="0"/>
              <w:kinsoku/>
              <w:wordWrap/>
              <w:topLinePunct w:val="0"/>
              <w:bidi w:val="0"/>
              <w:spacing w:line="24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892" w:type="dxa"/>
            <w:vAlign w:val="center"/>
          </w:tcPr>
          <w:p>
            <w:pPr>
              <w:keepLines w:val="0"/>
              <w:pageBreakBefore w:val="0"/>
              <w:kinsoku/>
              <w:wordWrap/>
              <w:topLinePunct w:val="0"/>
              <w:bidi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质量方针</w:t>
            </w:r>
          </w:p>
        </w:tc>
        <w:tc>
          <w:tcPr>
            <w:tcW w:w="1228" w:type="dxa"/>
            <w:vAlign w:val="center"/>
          </w:tcPr>
          <w:p>
            <w:pPr>
              <w:keepLines w:val="0"/>
              <w:pageBreakBefore w:val="0"/>
              <w:kinsoku/>
              <w:wordWrap/>
              <w:topLinePunct w:val="0"/>
              <w:bidi w:val="0"/>
              <w:spacing w:line="240" w:lineRule="auto"/>
              <w:rPr>
                <w:rFonts w:hint="eastAsia" w:ascii="宋体" w:hAnsi="宋体" w:eastAsia="宋体" w:cs="宋体"/>
                <w:sz w:val="21"/>
                <w:szCs w:val="21"/>
              </w:rPr>
            </w:pPr>
            <w:r>
              <w:rPr>
                <w:rFonts w:hint="eastAsia" w:ascii="宋体" w:hAnsi="宋体" w:eastAsia="宋体" w:cs="宋体"/>
                <w:sz w:val="21"/>
                <w:szCs w:val="21"/>
              </w:rPr>
              <w:t>Q</w:t>
            </w:r>
            <w:r>
              <w:rPr>
                <w:rFonts w:hint="eastAsia" w:ascii="宋体" w:hAnsi="宋体" w:eastAsia="宋体" w:cs="宋体"/>
                <w:sz w:val="21"/>
                <w:szCs w:val="21"/>
                <w:lang w:val="en-US" w:eastAsia="zh-CN"/>
              </w:rPr>
              <w:t>EO</w:t>
            </w:r>
            <w:r>
              <w:rPr>
                <w:rFonts w:hint="eastAsia" w:ascii="宋体" w:hAnsi="宋体" w:eastAsia="宋体" w:cs="宋体"/>
                <w:sz w:val="21"/>
                <w:szCs w:val="21"/>
              </w:rPr>
              <w:t>：5.2</w:t>
            </w:r>
          </w:p>
        </w:tc>
        <w:tc>
          <w:tcPr>
            <w:tcW w:w="10943" w:type="dxa"/>
            <w:vAlign w:val="center"/>
          </w:tcPr>
          <w:p>
            <w:pPr>
              <w:pStyle w:val="2"/>
              <w:keepLines w:val="0"/>
              <w:pageBreakBefore w:val="0"/>
              <w:tabs>
                <w:tab w:val="left" w:pos="0"/>
                <w:tab w:val="left" w:pos="180"/>
              </w:tabs>
              <w:kinsoku/>
              <w:wordWrap/>
              <w:topLinePunct w:val="0"/>
              <w:bidi w:val="0"/>
              <w:spacing w:line="240" w:lineRule="auto"/>
              <w:rPr>
                <w:rFonts w:hint="eastAsia" w:ascii="宋体" w:hAnsi="宋体" w:eastAsia="宋体" w:cs="宋体"/>
                <w:sz w:val="21"/>
                <w:szCs w:val="21"/>
              </w:rPr>
            </w:pPr>
            <w:r>
              <w:rPr>
                <w:rFonts w:hint="eastAsia" w:ascii="宋体" w:hAnsi="宋体" w:eastAsia="宋体" w:cs="宋体"/>
                <w:sz w:val="21"/>
                <w:szCs w:val="21"/>
              </w:rPr>
              <w:t>公司的管理方针：</w:t>
            </w:r>
          </w:p>
          <w:p>
            <w:pPr>
              <w:pStyle w:val="2"/>
              <w:keepLines w:val="0"/>
              <w:pageBreakBefore w:val="0"/>
              <w:tabs>
                <w:tab w:val="left" w:pos="0"/>
                <w:tab w:val="left" w:pos="180"/>
              </w:tabs>
              <w:kinsoku/>
              <w:wordWrap/>
              <w:topLinePunct w:val="0"/>
              <w:bidi w:val="0"/>
              <w:spacing w:line="240" w:lineRule="auto"/>
              <w:rPr>
                <w:rFonts w:hint="eastAsia" w:ascii="宋体" w:hAnsi="宋体" w:eastAsia="宋体" w:cs="宋体"/>
                <w:sz w:val="21"/>
                <w:szCs w:val="21"/>
              </w:rPr>
            </w:pPr>
            <w:r>
              <w:rPr>
                <w:rFonts w:hint="eastAsia" w:ascii="宋体" w:hAnsi="宋体" w:eastAsia="宋体" w:cs="宋体"/>
                <w:sz w:val="21"/>
                <w:szCs w:val="21"/>
              </w:rPr>
              <w:t xml:space="preserve">      守法诚信追求精品，预防污染保护环境；</w:t>
            </w:r>
          </w:p>
          <w:p>
            <w:pPr>
              <w:keepLines w:val="0"/>
              <w:pageBreakBefore w:val="0"/>
              <w:kinsoku/>
              <w:wordWrap/>
              <w:topLinePunct w:val="0"/>
              <w:bidi w:val="0"/>
              <w:spacing w:line="240" w:lineRule="auto"/>
              <w:ind w:firstLine="630" w:firstLineChars="300"/>
              <w:rPr>
                <w:rFonts w:hint="eastAsia" w:ascii="宋体" w:hAnsi="宋体" w:eastAsia="宋体" w:cs="宋体"/>
                <w:sz w:val="21"/>
                <w:szCs w:val="21"/>
              </w:rPr>
            </w:pPr>
            <w:r>
              <w:rPr>
                <w:rFonts w:hint="eastAsia" w:ascii="宋体" w:hAnsi="宋体" w:eastAsia="宋体" w:cs="宋体"/>
                <w:sz w:val="21"/>
                <w:szCs w:val="21"/>
              </w:rPr>
              <w:t>关爱员工健康安全，持续改进追求卓越。</w:t>
            </w:r>
          </w:p>
          <w:p>
            <w:pPr>
              <w:keepLines w:val="0"/>
              <w:pageBreakBefore w:val="0"/>
              <w:kinsoku/>
              <w:wordWrap/>
              <w:topLinePunct w:val="0"/>
              <w:bidi w:val="0"/>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公司以质量、环境、职业健康安全标准为基础，结合公司实际特制定管理方针。与郝妍进行交谈，对方针内涵的理解较深刻。方针能为制定目标提供框架，方针基本符合标准的要求。</w:t>
            </w:r>
          </w:p>
          <w:p>
            <w:pPr>
              <w:keepLines w:val="0"/>
              <w:pageBreakBefore w:val="0"/>
              <w:kinsoku/>
              <w:wordWrap/>
              <w:topLinePunct w:val="0"/>
              <w:bidi w:val="0"/>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总经理郝妍用会议、文件等手段保证管理方针为全体员工理解并落实到工作中。总经理郝妍说管理评审时对方针的持续适宜性进行了评审，有评审记录。</w:t>
            </w:r>
          </w:p>
          <w:p>
            <w:pPr>
              <w:keepLines w:val="0"/>
              <w:pageBreakBefore w:val="0"/>
              <w:kinsoku/>
              <w:wordWrap/>
              <w:topLinePunct w:val="0"/>
              <w:bidi w:val="0"/>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以上管理方针通过文件、培训等形式将公司管理方针传达给所有为公司工作或代表公司的人员，相关方也可通过办公室获取公司管理方针。</w:t>
            </w:r>
          </w:p>
        </w:tc>
        <w:tc>
          <w:tcPr>
            <w:tcW w:w="646" w:type="dxa"/>
            <w:vAlign w:val="top"/>
          </w:tcPr>
          <w:p>
            <w:pPr>
              <w:keepLines w:val="0"/>
              <w:pageBreakBefore w:val="0"/>
              <w:kinsoku/>
              <w:wordWrap/>
              <w:topLinePunct w:val="0"/>
              <w:bidi w:val="0"/>
              <w:spacing w:line="24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92" w:type="dxa"/>
            <w:vAlign w:val="center"/>
          </w:tcPr>
          <w:p>
            <w:pPr>
              <w:keepLines w:val="0"/>
              <w:pageBreakBefore w:val="0"/>
              <w:kinsoku/>
              <w:wordWrap/>
              <w:topLinePunct w:val="0"/>
              <w:bidi w:val="0"/>
              <w:spacing w:line="240" w:lineRule="auto"/>
              <w:rPr>
                <w:rFonts w:hint="eastAsia" w:ascii="宋体" w:hAnsi="宋体" w:eastAsia="宋体" w:cs="宋体"/>
                <w:sz w:val="21"/>
                <w:szCs w:val="21"/>
              </w:rPr>
            </w:pPr>
            <w:r>
              <w:rPr>
                <w:rFonts w:hint="eastAsia" w:ascii="宋体" w:hAnsi="宋体" w:eastAsia="宋体" w:cs="宋体"/>
                <w:sz w:val="21"/>
                <w:szCs w:val="21"/>
              </w:rPr>
              <w:t>组织的岗位、职责和权限</w:t>
            </w:r>
          </w:p>
          <w:p>
            <w:pPr>
              <w:keepLines w:val="0"/>
              <w:pageBreakBefore w:val="0"/>
              <w:kinsoku/>
              <w:wordWrap/>
              <w:topLinePunct w:val="0"/>
              <w:bidi w:val="0"/>
              <w:spacing w:line="240" w:lineRule="auto"/>
              <w:jc w:val="center"/>
              <w:rPr>
                <w:rFonts w:hint="eastAsia" w:ascii="宋体" w:hAnsi="宋体" w:eastAsia="宋体" w:cs="宋体"/>
                <w:sz w:val="21"/>
                <w:szCs w:val="21"/>
              </w:rPr>
            </w:pPr>
          </w:p>
        </w:tc>
        <w:tc>
          <w:tcPr>
            <w:tcW w:w="1228" w:type="dxa"/>
            <w:vAlign w:val="center"/>
          </w:tcPr>
          <w:p>
            <w:pPr>
              <w:keepLines w:val="0"/>
              <w:pageBreakBefore w:val="0"/>
              <w:kinsoku/>
              <w:wordWrap/>
              <w:topLinePunct w:val="0"/>
              <w:bidi w:val="0"/>
              <w:spacing w:line="240" w:lineRule="auto"/>
              <w:rPr>
                <w:rFonts w:hint="eastAsia" w:ascii="宋体" w:hAnsi="宋体" w:eastAsia="宋体" w:cs="宋体"/>
                <w:sz w:val="21"/>
                <w:szCs w:val="21"/>
              </w:rPr>
            </w:pPr>
            <w:r>
              <w:rPr>
                <w:rFonts w:hint="eastAsia" w:ascii="宋体" w:hAnsi="宋体" w:eastAsia="宋体" w:cs="宋体"/>
                <w:sz w:val="21"/>
                <w:szCs w:val="21"/>
              </w:rPr>
              <w:t>Q</w:t>
            </w:r>
            <w:r>
              <w:rPr>
                <w:rFonts w:hint="eastAsia" w:ascii="宋体" w:hAnsi="宋体" w:eastAsia="宋体" w:cs="宋体"/>
                <w:sz w:val="21"/>
                <w:szCs w:val="21"/>
                <w:lang w:val="en-US" w:eastAsia="zh-CN"/>
              </w:rPr>
              <w:t>EO</w:t>
            </w:r>
            <w:r>
              <w:rPr>
                <w:rFonts w:hint="eastAsia" w:ascii="宋体" w:hAnsi="宋体" w:eastAsia="宋体" w:cs="宋体"/>
                <w:sz w:val="21"/>
                <w:szCs w:val="21"/>
              </w:rPr>
              <w:t>：5.3</w:t>
            </w:r>
          </w:p>
          <w:p>
            <w:pPr>
              <w:keepLines w:val="0"/>
              <w:pageBreakBefore w:val="0"/>
              <w:kinsoku/>
              <w:wordWrap/>
              <w:topLinePunct w:val="0"/>
              <w:bidi w:val="0"/>
              <w:spacing w:line="240" w:lineRule="auto"/>
              <w:rPr>
                <w:rFonts w:hint="eastAsia" w:ascii="宋体" w:hAnsi="宋体" w:eastAsia="宋体" w:cs="宋体"/>
                <w:sz w:val="21"/>
                <w:szCs w:val="21"/>
              </w:rPr>
            </w:pPr>
            <w:r>
              <w:rPr>
                <w:rFonts w:hint="eastAsia" w:ascii="宋体" w:hAnsi="宋体" w:eastAsia="宋体" w:cs="宋体"/>
                <w:sz w:val="21"/>
                <w:szCs w:val="21"/>
              </w:rPr>
              <w:t xml:space="preserve"> </w:t>
            </w:r>
          </w:p>
        </w:tc>
        <w:tc>
          <w:tcPr>
            <w:tcW w:w="10943" w:type="dxa"/>
            <w:vAlign w:val="center"/>
          </w:tcPr>
          <w:p>
            <w:pPr>
              <w:keepLines w:val="0"/>
              <w:pageBreakBefore w:val="0"/>
              <w:kinsoku/>
              <w:wordWrap/>
              <w:topLinePunct w:val="0"/>
              <w:bidi w:val="0"/>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公司确定了公司机构并规定了各岗位人员职责、权限和相互关系，并在公司内对各级员工进行了必要的传达。对从事与销售有关的管理、执行和验证人员规定其职责、权限及其相互关系，以实现公司管理方针和管理目标。建立、实施和保持公司管理体系所需的过程，公司决定任命张成林为管理体系的管理者代表。其职责和权限规定如下：</w:t>
            </w:r>
          </w:p>
          <w:p>
            <w:pPr>
              <w:keepLines w:val="0"/>
              <w:pageBreakBefore w:val="0"/>
              <w:kinsoku/>
              <w:wordWrap/>
              <w:topLinePunct w:val="0"/>
              <w:bidi w:val="0"/>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确保本公司管理体系所需的过程得到建立、实施和保持，代表郝妍行使职权；</w:t>
            </w:r>
          </w:p>
          <w:p>
            <w:pPr>
              <w:keepLines w:val="0"/>
              <w:pageBreakBefore w:val="0"/>
              <w:kinsoku/>
              <w:wordWrap/>
              <w:topLinePunct w:val="0"/>
              <w:bidi w:val="0"/>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向最高管理者报告管理体系的运行、管理业绩情况以供评审，并提出管理体系改进方面的建议；确保在整个组织内提高满足顾客、相关方要求和适用法律法规要求的意识；组织落实公司管理体系的管理评审和内部审核；及时处理影响公司管理体系正常运行的有关问题；负责公司管理体系有关事宜的对外联络等。</w:t>
            </w:r>
          </w:p>
          <w:p>
            <w:pPr>
              <w:keepLines w:val="0"/>
              <w:pageBreakBefore w:val="0"/>
              <w:kinsoku/>
              <w:wordWrap/>
              <w:topLinePunct w:val="0"/>
              <w:bidi w:val="0"/>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询问管代周建立，职责回答正确。</w:t>
            </w:r>
          </w:p>
        </w:tc>
        <w:tc>
          <w:tcPr>
            <w:tcW w:w="646" w:type="dxa"/>
            <w:vAlign w:val="top"/>
          </w:tcPr>
          <w:p>
            <w:pPr>
              <w:keepLines w:val="0"/>
              <w:pageBreakBefore w:val="0"/>
              <w:kinsoku/>
              <w:wordWrap/>
              <w:topLinePunct w:val="0"/>
              <w:bidi w:val="0"/>
              <w:spacing w:line="24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92" w:type="dxa"/>
            <w:vAlign w:val="center"/>
          </w:tcPr>
          <w:p>
            <w:pPr>
              <w:keepLines w:val="0"/>
              <w:pageBreakBefore w:val="0"/>
              <w:kinsoku/>
              <w:wordWrap/>
              <w:topLinePunct w:val="0"/>
              <w:bidi w:val="0"/>
              <w:spacing w:line="240" w:lineRule="auto"/>
              <w:jc w:val="left"/>
              <w:rPr>
                <w:rFonts w:hint="eastAsia" w:ascii="宋体" w:hAnsi="宋体" w:eastAsia="宋体" w:cs="宋体"/>
                <w:sz w:val="21"/>
                <w:szCs w:val="21"/>
              </w:rPr>
            </w:pPr>
            <w:r>
              <w:rPr>
                <w:rFonts w:hint="eastAsia" w:ascii="宋体" w:hAnsi="宋体" w:eastAsia="宋体" w:cs="宋体"/>
                <w:sz w:val="21"/>
                <w:szCs w:val="21"/>
              </w:rPr>
              <w:t>应对风险和机会的措施</w:t>
            </w:r>
          </w:p>
        </w:tc>
        <w:tc>
          <w:tcPr>
            <w:tcW w:w="1228" w:type="dxa"/>
            <w:vAlign w:val="center"/>
          </w:tcPr>
          <w:p>
            <w:pPr>
              <w:keepLines w:val="0"/>
              <w:pageBreakBefore w:val="0"/>
              <w:kinsoku/>
              <w:wordWrap/>
              <w:topLinePunct w:val="0"/>
              <w:bidi w:val="0"/>
              <w:spacing w:line="240" w:lineRule="auto"/>
              <w:jc w:val="left"/>
              <w:rPr>
                <w:rFonts w:hint="eastAsia" w:ascii="宋体" w:hAnsi="宋体" w:eastAsia="宋体" w:cs="宋体"/>
                <w:sz w:val="21"/>
                <w:szCs w:val="21"/>
              </w:rPr>
            </w:pPr>
            <w:r>
              <w:rPr>
                <w:rFonts w:hint="eastAsia" w:ascii="宋体" w:hAnsi="宋体" w:eastAsia="宋体" w:cs="宋体"/>
                <w:sz w:val="21"/>
                <w:szCs w:val="21"/>
              </w:rPr>
              <w:t>Q</w:t>
            </w:r>
            <w:r>
              <w:rPr>
                <w:rFonts w:hint="eastAsia" w:ascii="宋体" w:hAnsi="宋体" w:eastAsia="宋体" w:cs="宋体"/>
                <w:sz w:val="21"/>
                <w:szCs w:val="21"/>
                <w:lang w:val="en-US" w:eastAsia="zh-CN"/>
              </w:rPr>
              <w:t>EO</w:t>
            </w:r>
            <w:r>
              <w:rPr>
                <w:rFonts w:hint="eastAsia" w:ascii="宋体" w:hAnsi="宋体" w:eastAsia="宋体" w:cs="宋体"/>
                <w:sz w:val="21"/>
                <w:szCs w:val="21"/>
              </w:rPr>
              <w:t>： 6.1.1</w:t>
            </w:r>
          </w:p>
        </w:tc>
        <w:tc>
          <w:tcPr>
            <w:tcW w:w="10943" w:type="dxa"/>
            <w:vAlign w:val="center"/>
          </w:tcPr>
          <w:p>
            <w:pPr>
              <w:pStyle w:val="2"/>
              <w:keepLines w:val="0"/>
              <w:pageBreakBefore w:val="0"/>
              <w:kinsoku/>
              <w:wordWrap/>
              <w:topLinePunct w:val="0"/>
              <w:bidi w:val="0"/>
              <w:spacing w:line="240" w:lineRule="auto"/>
              <w:rPr>
                <w:rFonts w:hint="eastAsia" w:ascii="宋体" w:hAnsi="宋体" w:eastAsia="宋体" w:cs="宋体"/>
                <w:sz w:val="21"/>
                <w:szCs w:val="21"/>
              </w:rPr>
            </w:pPr>
            <w:r>
              <w:rPr>
                <w:rFonts w:hint="eastAsia" w:ascii="宋体" w:hAnsi="宋体" w:eastAsia="宋体" w:cs="宋体"/>
                <w:sz w:val="21"/>
                <w:szCs w:val="21"/>
              </w:rPr>
              <w:t>提供《风险和机遇的应对控制程序》，对组织内外的风险和机遇进行了策划。提供“风险排查和机遇评估分析表”，识别了风险的类型、类别、风险和机遇识别、风险和机遇的评估、风险和机遇应对措施、执行情况等：风险的类型：外部因素、外部因素；风险的类别法规要求、相关方要求、社会、竞争、文化、产品供应；</w:t>
            </w:r>
          </w:p>
          <w:p>
            <w:pPr>
              <w:pStyle w:val="2"/>
              <w:keepLines w:val="0"/>
              <w:pageBreakBefore w:val="0"/>
              <w:kinsoku/>
              <w:wordWrap/>
              <w:topLinePunct w:val="0"/>
              <w:bidi w:val="0"/>
              <w:spacing w:line="240" w:lineRule="auto"/>
              <w:rPr>
                <w:rFonts w:hint="eastAsia" w:ascii="宋体" w:hAnsi="宋体" w:eastAsia="宋体" w:cs="宋体"/>
                <w:sz w:val="21"/>
                <w:szCs w:val="21"/>
              </w:rPr>
            </w:pPr>
            <w:r>
              <w:rPr>
                <w:rFonts w:hint="eastAsia" w:ascii="宋体" w:hAnsi="宋体" w:eastAsia="宋体" w:cs="宋体"/>
                <w:sz w:val="21"/>
                <w:szCs w:val="21"/>
              </w:rPr>
              <w:t>风险、机遇：从客户开发、合同评审、产品交付、领导作用、信息交流、采购管理、仓库管理等方面进行分析评估。从严重程度、发生概率、可探测性、RPN等确定风险和机遇。</w:t>
            </w:r>
          </w:p>
          <w:p>
            <w:pPr>
              <w:pStyle w:val="2"/>
              <w:keepLines w:val="0"/>
              <w:pageBreakBefore w:val="0"/>
              <w:kinsoku/>
              <w:wordWrap/>
              <w:topLinePunct w:val="0"/>
              <w:bidi w:val="0"/>
              <w:spacing w:line="240" w:lineRule="auto"/>
              <w:rPr>
                <w:rFonts w:hint="eastAsia" w:ascii="宋体" w:hAnsi="宋体" w:eastAsia="宋体" w:cs="宋体"/>
                <w:sz w:val="21"/>
                <w:szCs w:val="21"/>
              </w:rPr>
            </w:pPr>
            <w:r>
              <w:rPr>
                <w:rFonts w:hint="eastAsia" w:ascii="宋体" w:hAnsi="宋体" w:eastAsia="宋体" w:cs="宋体"/>
                <w:sz w:val="21"/>
                <w:szCs w:val="21"/>
              </w:rPr>
              <w:t>应对措施：与风险、机遇相适应。</w:t>
            </w:r>
          </w:p>
        </w:tc>
        <w:tc>
          <w:tcPr>
            <w:tcW w:w="646" w:type="dxa"/>
            <w:vAlign w:val="top"/>
          </w:tcPr>
          <w:p>
            <w:pPr>
              <w:keepLines w:val="0"/>
              <w:pageBreakBefore w:val="0"/>
              <w:kinsoku/>
              <w:wordWrap/>
              <w:topLinePunct w:val="0"/>
              <w:bidi w:val="0"/>
              <w:spacing w:line="24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92" w:type="dxa"/>
            <w:vAlign w:val="center"/>
          </w:tcPr>
          <w:p>
            <w:pPr>
              <w:keepLines w:val="0"/>
              <w:pageBreakBefore w:val="0"/>
              <w:kinsoku/>
              <w:wordWrap/>
              <w:topLinePunct w:val="0"/>
              <w:bidi w:val="0"/>
              <w:spacing w:line="240" w:lineRule="auto"/>
              <w:jc w:val="left"/>
              <w:rPr>
                <w:rFonts w:hint="eastAsia" w:ascii="宋体" w:hAnsi="宋体" w:eastAsia="宋体" w:cs="宋体"/>
                <w:sz w:val="21"/>
                <w:szCs w:val="21"/>
              </w:rPr>
            </w:pPr>
            <w:r>
              <w:rPr>
                <w:rFonts w:hint="eastAsia" w:ascii="宋体" w:hAnsi="宋体" w:eastAsia="宋体" w:cs="宋体"/>
                <w:sz w:val="21"/>
                <w:szCs w:val="21"/>
              </w:rPr>
              <w:t>目标和措施计划</w:t>
            </w:r>
          </w:p>
        </w:tc>
        <w:tc>
          <w:tcPr>
            <w:tcW w:w="1228" w:type="dxa"/>
            <w:vAlign w:val="center"/>
          </w:tcPr>
          <w:p>
            <w:pPr>
              <w:keepLines w:val="0"/>
              <w:pageBreakBefore w:val="0"/>
              <w:kinsoku/>
              <w:wordWrap/>
              <w:topLinePunct w:val="0"/>
              <w:bidi w:val="0"/>
              <w:spacing w:line="240" w:lineRule="auto"/>
              <w:jc w:val="left"/>
              <w:rPr>
                <w:rFonts w:hint="eastAsia" w:ascii="宋体" w:hAnsi="宋体" w:eastAsia="宋体" w:cs="宋体"/>
                <w:sz w:val="21"/>
                <w:szCs w:val="21"/>
              </w:rPr>
            </w:pPr>
            <w:r>
              <w:rPr>
                <w:rFonts w:hint="eastAsia" w:ascii="宋体" w:hAnsi="宋体" w:eastAsia="宋体" w:cs="宋体"/>
                <w:sz w:val="21"/>
                <w:szCs w:val="21"/>
              </w:rPr>
              <w:t>Q</w:t>
            </w:r>
            <w:r>
              <w:rPr>
                <w:rFonts w:hint="eastAsia" w:ascii="宋体" w:hAnsi="宋体" w:eastAsia="宋体" w:cs="宋体"/>
                <w:sz w:val="21"/>
                <w:szCs w:val="21"/>
                <w:lang w:val="en-US" w:eastAsia="zh-CN"/>
              </w:rPr>
              <w:t>EO</w:t>
            </w:r>
            <w:r>
              <w:rPr>
                <w:rFonts w:hint="eastAsia" w:ascii="宋体" w:hAnsi="宋体" w:eastAsia="宋体" w:cs="宋体"/>
                <w:sz w:val="21"/>
                <w:szCs w:val="21"/>
              </w:rPr>
              <w:t>：6.2</w:t>
            </w:r>
          </w:p>
          <w:p>
            <w:pPr>
              <w:keepLines w:val="0"/>
              <w:pageBreakBefore w:val="0"/>
              <w:kinsoku/>
              <w:wordWrap/>
              <w:topLinePunct w:val="0"/>
              <w:bidi w:val="0"/>
              <w:spacing w:line="240" w:lineRule="auto"/>
              <w:jc w:val="left"/>
              <w:rPr>
                <w:rFonts w:hint="eastAsia" w:ascii="宋体" w:hAnsi="宋体" w:eastAsia="宋体" w:cs="宋体"/>
                <w:sz w:val="21"/>
                <w:szCs w:val="21"/>
              </w:rPr>
            </w:pPr>
          </w:p>
        </w:tc>
        <w:tc>
          <w:tcPr>
            <w:tcW w:w="10943" w:type="dxa"/>
            <w:vAlign w:val="center"/>
          </w:tcPr>
          <w:p>
            <w:pPr>
              <w:keepLines w:val="0"/>
              <w:pageBreakBefore w:val="0"/>
              <w:kinsoku/>
              <w:wordWrap/>
              <w:topLinePunct w:val="0"/>
              <w:bidi w:val="0"/>
              <w:spacing w:line="240" w:lineRule="auto"/>
              <w:rPr>
                <w:rFonts w:hint="eastAsia" w:ascii="宋体" w:hAnsi="宋体" w:eastAsia="宋体" w:cs="宋体"/>
                <w:sz w:val="21"/>
                <w:szCs w:val="21"/>
              </w:rPr>
            </w:pPr>
            <w:r>
              <w:rPr>
                <w:rFonts w:hint="eastAsia" w:ascii="宋体" w:hAnsi="宋体" w:eastAsia="宋体" w:cs="宋体"/>
                <w:sz w:val="21"/>
                <w:szCs w:val="21"/>
              </w:rPr>
              <w:t>查</w:t>
            </w:r>
            <w:r>
              <w:rPr>
                <w:rFonts w:hint="eastAsia" w:ascii="宋体" w:hAnsi="宋体" w:eastAsia="宋体" w:cs="宋体"/>
                <w:color w:val="000000"/>
                <w:sz w:val="21"/>
                <w:szCs w:val="21"/>
              </w:rPr>
              <w:t>TJYYQES/SC-01-2020</w:t>
            </w:r>
            <w:r>
              <w:rPr>
                <w:rFonts w:hint="eastAsia" w:ascii="宋体" w:hAnsi="宋体" w:eastAsia="宋体" w:cs="宋体"/>
                <w:sz w:val="21"/>
                <w:szCs w:val="21"/>
              </w:rPr>
              <w:t>《管理手册》，策划并制定了质量、环境、职业健康安全目标，并在相关职能、层次和过程上建立目标考虑了适用的要求，并与产品和服务的符合性以及增强顾客满意有关，均可测量，并与方针基本一致。目标以公告、会议形式传达、培训和内部沟通等形式进行了沟通。</w:t>
            </w:r>
          </w:p>
          <w:p>
            <w:pPr>
              <w:keepLines w:val="0"/>
              <w:pageBreakBefore w:val="0"/>
              <w:kinsoku/>
              <w:wordWrap/>
              <w:topLinePunct w:val="0"/>
              <w:bidi w:val="0"/>
              <w:spacing w:line="240" w:lineRule="auto"/>
              <w:rPr>
                <w:rFonts w:hint="eastAsia" w:ascii="宋体" w:hAnsi="宋体" w:eastAsia="宋体" w:cs="宋体"/>
                <w:sz w:val="21"/>
                <w:szCs w:val="21"/>
              </w:rPr>
            </w:pPr>
            <w:r>
              <w:rPr>
                <w:rFonts w:hint="eastAsia" w:ascii="宋体" w:hAnsi="宋体" w:eastAsia="宋体" w:cs="宋体"/>
                <w:sz w:val="21"/>
                <w:szCs w:val="21"/>
              </w:rPr>
              <w:t>查《管理手册》，制定了公司目标，并在管理体系所需的相关职能。</w:t>
            </w:r>
          </w:p>
          <w:p>
            <w:pPr>
              <w:keepLines w:val="0"/>
              <w:pageBreakBefore w:val="0"/>
              <w:kinsoku/>
              <w:wordWrap/>
              <w:overflowPunct w:val="0"/>
              <w:topLinePunct w:val="0"/>
              <w:autoSpaceDE w:val="0"/>
              <w:autoSpaceDN w:val="0"/>
              <w:bidi w:val="0"/>
              <w:adjustRightInd w:val="0"/>
              <w:spacing w:line="240" w:lineRule="auto"/>
              <w:rPr>
                <w:rFonts w:hint="eastAsia" w:ascii="宋体" w:hAnsi="宋体" w:eastAsia="宋体" w:cs="宋体"/>
                <w:sz w:val="21"/>
                <w:szCs w:val="21"/>
              </w:rPr>
            </w:pPr>
            <w:r>
              <w:rPr>
                <w:rFonts w:hint="eastAsia" w:ascii="宋体" w:hAnsi="宋体" w:eastAsia="宋体" w:cs="宋体"/>
                <w:kern w:val="0"/>
                <w:sz w:val="21"/>
                <w:szCs w:val="21"/>
              </w:rPr>
              <w:t>公司的质量、环境和职业健康安全管理方针：</w:t>
            </w:r>
            <w:r>
              <w:rPr>
                <w:rFonts w:hint="eastAsia" w:ascii="宋体" w:hAnsi="宋体" w:eastAsia="宋体" w:cs="宋体"/>
                <w:sz w:val="21"/>
                <w:szCs w:val="21"/>
              </w:rPr>
              <w:t>守法诚信追求精品，预防污染保护环境；关爱员工健康安全，持续改进追求卓越。</w:t>
            </w:r>
          </w:p>
          <w:p>
            <w:pPr>
              <w:keepLines w:val="0"/>
              <w:pageBreakBefore w:val="0"/>
              <w:kinsoku/>
              <w:wordWrap/>
              <w:topLinePunct w:val="0"/>
              <w:bidi w:val="0"/>
              <w:spacing w:line="24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管理</w:t>
            </w:r>
            <w:r>
              <w:rPr>
                <w:rFonts w:hint="eastAsia" w:ascii="宋体" w:hAnsi="宋体" w:eastAsia="宋体" w:cs="宋体"/>
                <w:sz w:val="21"/>
                <w:szCs w:val="21"/>
              </w:rPr>
              <w:t>目标：</w:t>
            </w:r>
            <w:r>
              <w:rPr>
                <w:rFonts w:hint="eastAsia" w:ascii="宋体" w:hAnsi="宋体" w:eastAsia="宋体" w:cs="宋体"/>
                <w:sz w:val="21"/>
                <w:szCs w:val="21"/>
                <w:lang w:val="en-US" w:eastAsia="zh-CN"/>
              </w:rPr>
              <w:t xml:space="preserve">                           完成情况： 2022年1月-6月</w:t>
            </w:r>
          </w:p>
          <w:p>
            <w:pPr>
              <w:keepLines w:val="0"/>
              <w:pageBreakBefore w:val="0"/>
              <w:kinsoku/>
              <w:wordWrap/>
              <w:topLinePunct w:val="0"/>
              <w:bidi w:val="0"/>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r>
              <w:rPr>
                <w:rFonts w:hint="eastAsia" w:ascii="宋体" w:hAnsi="宋体" w:eastAsia="宋体" w:cs="宋体"/>
                <w:sz w:val="21"/>
                <w:szCs w:val="21"/>
              </w:rPr>
              <w:t>客户投诉每年少于3起；</w:t>
            </w:r>
            <w:r>
              <w:rPr>
                <w:rFonts w:hint="eastAsia" w:ascii="宋体" w:hAnsi="宋体" w:eastAsia="宋体" w:cs="宋体"/>
                <w:sz w:val="21"/>
                <w:szCs w:val="21"/>
                <w:lang w:val="en-US" w:eastAsia="zh-CN"/>
              </w:rPr>
              <w:t xml:space="preserve">                     实测：0</w:t>
            </w:r>
          </w:p>
          <w:p>
            <w:pPr>
              <w:keepLines w:val="0"/>
              <w:pageBreakBefore w:val="0"/>
              <w:kinsoku/>
              <w:wordWrap/>
              <w:topLinePunct w:val="0"/>
              <w:bidi w:val="0"/>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r>
              <w:rPr>
                <w:rFonts w:hint="eastAsia" w:ascii="宋体" w:hAnsi="宋体" w:eastAsia="宋体" w:cs="宋体"/>
                <w:sz w:val="21"/>
                <w:szCs w:val="21"/>
              </w:rPr>
              <w:t>顾客满意度96%以上；</w:t>
            </w:r>
            <w:r>
              <w:rPr>
                <w:rFonts w:hint="eastAsia" w:ascii="宋体" w:hAnsi="宋体" w:eastAsia="宋体" w:cs="宋体"/>
                <w:sz w:val="21"/>
                <w:szCs w:val="21"/>
                <w:lang w:val="en-US" w:eastAsia="zh-CN"/>
              </w:rPr>
              <w:t xml:space="preserve">                        实测：97%</w:t>
            </w:r>
          </w:p>
          <w:p>
            <w:pPr>
              <w:keepLines w:val="0"/>
              <w:pageBreakBefore w:val="0"/>
              <w:kinsoku/>
              <w:wordWrap/>
              <w:topLinePunct w:val="0"/>
              <w:bidi w:val="0"/>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r>
              <w:rPr>
                <w:rFonts w:hint="eastAsia" w:ascii="宋体" w:hAnsi="宋体" w:eastAsia="宋体" w:cs="宋体"/>
                <w:sz w:val="21"/>
                <w:szCs w:val="21"/>
              </w:rPr>
              <w:t>固体废弃物100%合理分类理；</w:t>
            </w:r>
            <w:r>
              <w:rPr>
                <w:rFonts w:hint="eastAsia" w:ascii="宋体" w:hAnsi="宋体" w:eastAsia="宋体" w:cs="宋体"/>
                <w:sz w:val="21"/>
                <w:szCs w:val="21"/>
                <w:lang w:val="en-US" w:eastAsia="zh-CN"/>
              </w:rPr>
              <w:t xml:space="preserve">                 实测：100%</w:t>
            </w:r>
          </w:p>
          <w:p>
            <w:pPr>
              <w:keepLines w:val="0"/>
              <w:pageBreakBefore w:val="0"/>
              <w:kinsoku/>
              <w:wordWrap/>
              <w:topLinePunct w:val="0"/>
              <w:bidi w:val="0"/>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r>
              <w:rPr>
                <w:rFonts w:hint="eastAsia" w:ascii="宋体" w:hAnsi="宋体" w:eastAsia="宋体" w:cs="宋体"/>
                <w:sz w:val="21"/>
                <w:szCs w:val="21"/>
              </w:rPr>
              <w:t>触电事故发生率为零；</w:t>
            </w:r>
            <w:r>
              <w:rPr>
                <w:rFonts w:hint="eastAsia" w:ascii="宋体" w:hAnsi="宋体" w:eastAsia="宋体" w:cs="宋体"/>
                <w:sz w:val="21"/>
                <w:szCs w:val="21"/>
                <w:lang w:val="en-US" w:eastAsia="zh-CN"/>
              </w:rPr>
              <w:t xml:space="preserve">                       实测：0</w:t>
            </w:r>
          </w:p>
          <w:p>
            <w:pPr>
              <w:keepLines w:val="0"/>
              <w:pageBreakBefore w:val="0"/>
              <w:kinsoku/>
              <w:wordWrap/>
              <w:topLinePunct w:val="0"/>
              <w:bidi w:val="0"/>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w:t>
            </w:r>
            <w:r>
              <w:rPr>
                <w:rFonts w:hint="eastAsia" w:ascii="宋体" w:hAnsi="宋体" w:eastAsia="宋体" w:cs="宋体"/>
                <w:sz w:val="21"/>
                <w:szCs w:val="21"/>
              </w:rPr>
              <w:t>各类重伤以上事故发生率零；</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实测：0</w:t>
            </w:r>
          </w:p>
          <w:p>
            <w:pPr>
              <w:keepLines w:val="0"/>
              <w:pageBreakBefore w:val="0"/>
              <w:kinsoku/>
              <w:wordWrap/>
              <w:topLinePunct w:val="0"/>
              <w:bidi w:val="0"/>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w:t>
            </w:r>
            <w:r>
              <w:rPr>
                <w:rFonts w:hint="eastAsia" w:ascii="宋体" w:hAnsi="宋体" w:eastAsia="宋体" w:cs="宋体"/>
                <w:sz w:val="21"/>
                <w:szCs w:val="21"/>
              </w:rPr>
              <w:t>火灾事故发生率为零。</w:t>
            </w:r>
            <w:r>
              <w:rPr>
                <w:rFonts w:hint="eastAsia" w:ascii="宋体" w:hAnsi="宋体" w:eastAsia="宋体" w:cs="宋体"/>
                <w:sz w:val="21"/>
                <w:szCs w:val="21"/>
                <w:lang w:val="en-US" w:eastAsia="zh-CN"/>
              </w:rPr>
              <w:t xml:space="preserve">                       实测：0</w:t>
            </w:r>
          </w:p>
          <w:p>
            <w:pPr>
              <w:keepLines w:val="0"/>
              <w:pageBreakBefore w:val="0"/>
              <w:kinsoku/>
              <w:wordWrap/>
              <w:topLinePunct w:val="0"/>
              <w:bidi w:val="0"/>
              <w:spacing w:line="240" w:lineRule="auto"/>
              <w:rPr>
                <w:rFonts w:hint="eastAsia" w:ascii="宋体" w:hAnsi="宋体" w:eastAsia="宋体" w:cs="宋体"/>
                <w:sz w:val="21"/>
                <w:szCs w:val="21"/>
              </w:rPr>
            </w:pPr>
            <w:r>
              <w:rPr>
                <w:rFonts w:hint="eastAsia" w:ascii="宋体" w:hAnsi="宋体" w:eastAsia="宋体" w:cs="宋体"/>
                <w:sz w:val="21"/>
                <w:szCs w:val="21"/>
              </w:rPr>
              <w:t>组织对公司质量、环境、职业健康安全目标、指标予以分解，并在相关职能层次部门建立分目标，</w:t>
            </w:r>
          </w:p>
          <w:p>
            <w:pPr>
              <w:pStyle w:val="16"/>
              <w:keepLines w:val="0"/>
              <w:pageBreakBefore w:val="0"/>
              <w:kinsoku/>
              <w:wordWrap/>
              <w:topLinePunct w:val="0"/>
              <w:bidi w:val="0"/>
              <w:spacing w:before="0" w:after="0" w:line="240" w:lineRule="auto"/>
              <w:rPr>
                <w:rFonts w:hint="eastAsia" w:ascii="宋体" w:hAnsi="宋体" w:eastAsia="宋体" w:cs="宋体"/>
                <w:sz w:val="21"/>
                <w:szCs w:val="21"/>
              </w:rPr>
            </w:pPr>
            <w:r>
              <w:rPr>
                <w:rFonts w:hint="eastAsia" w:ascii="宋体" w:hAnsi="宋体" w:eastAsia="宋体" w:cs="宋体"/>
                <w:sz w:val="21"/>
                <w:szCs w:val="21"/>
              </w:rPr>
              <w:t>查见《目标完成情况》，均完成。</w:t>
            </w:r>
          </w:p>
        </w:tc>
        <w:tc>
          <w:tcPr>
            <w:tcW w:w="646" w:type="dxa"/>
            <w:vAlign w:val="top"/>
          </w:tcPr>
          <w:p>
            <w:pPr>
              <w:keepLines w:val="0"/>
              <w:pageBreakBefore w:val="0"/>
              <w:kinsoku/>
              <w:wordWrap/>
              <w:topLinePunct w:val="0"/>
              <w:bidi w:val="0"/>
              <w:spacing w:line="24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92" w:type="dxa"/>
            <w:vAlign w:val="center"/>
          </w:tcPr>
          <w:p>
            <w:pPr>
              <w:keepLines w:val="0"/>
              <w:pageBreakBefore w:val="0"/>
              <w:kinsoku/>
              <w:wordWrap/>
              <w:topLinePunct w:val="0"/>
              <w:bidi w:val="0"/>
              <w:spacing w:line="240" w:lineRule="auto"/>
              <w:rPr>
                <w:rFonts w:hint="eastAsia" w:ascii="宋体" w:hAnsi="宋体" w:eastAsia="宋体" w:cs="宋体"/>
                <w:sz w:val="21"/>
                <w:szCs w:val="21"/>
              </w:rPr>
            </w:pPr>
            <w:r>
              <w:rPr>
                <w:rFonts w:hint="eastAsia" w:ascii="宋体" w:hAnsi="宋体" w:eastAsia="宋体" w:cs="宋体"/>
                <w:sz w:val="21"/>
                <w:szCs w:val="21"/>
              </w:rPr>
              <w:t>变更的策划</w:t>
            </w:r>
          </w:p>
        </w:tc>
        <w:tc>
          <w:tcPr>
            <w:tcW w:w="1228" w:type="dxa"/>
            <w:vAlign w:val="center"/>
          </w:tcPr>
          <w:p>
            <w:pPr>
              <w:keepLines w:val="0"/>
              <w:pageBreakBefore w:val="0"/>
              <w:kinsoku/>
              <w:wordWrap/>
              <w:topLinePunct w:val="0"/>
              <w:bidi w:val="0"/>
              <w:spacing w:line="240" w:lineRule="auto"/>
              <w:rPr>
                <w:rFonts w:hint="eastAsia" w:ascii="宋体" w:hAnsi="宋体" w:eastAsia="宋体" w:cs="宋体"/>
                <w:sz w:val="21"/>
                <w:szCs w:val="21"/>
              </w:rPr>
            </w:pPr>
            <w:r>
              <w:rPr>
                <w:rFonts w:hint="eastAsia" w:ascii="宋体" w:hAnsi="宋体" w:eastAsia="宋体" w:cs="宋体"/>
                <w:sz w:val="21"/>
                <w:szCs w:val="21"/>
              </w:rPr>
              <w:t>Q：6.3</w:t>
            </w:r>
          </w:p>
        </w:tc>
        <w:tc>
          <w:tcPr>
            <w:tcW w:w="10943" w:type="dxa"/>
            <w:vAlign w:val="center"/>
          </w:tcPr>
          <w:p>
            <w:pPr>
              <w:keepLines w:val="0"/>
              <w:pageBreakBefore w:val="0"/>
              <w:kinsoku/>
              <w:wordWrap/>
              <w:topLinePunct w:val="0"/>
              <w:bidi w:val="0"/>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现场交流，为了保持和改进公司管理体系的绩效，公司识别和确定变更的需求和机会。有计划、系统地进行变更，识别风险和机遇，并评价变更的潜在后果。经交流，未发生体系的变更，亦未发生变更的策划。</w:t>
            </w:r>
          </w:p>
        </w:tc>
        <w:tc>
          <w:tcPr>
            <w:tcW w:w="646" w:type="dxa"/>
            <w:vAlign w:val="top"/>
          </w:tcPr>
          <w:p>
            <w:pPr>
              <w:keepLines w:val="0"/>
              <w:pageBreakBefore w:val="0"/>
              <w:kinsoku/>
              <w:wordWrap/>
              <w:topLinePunct w:val="0"/>
              <w:bidi w:val="0"/>
              <w:spacing w:line="24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92" w:type="dxa"/>
            <w:vAlign w:val="center"/>
          </w:tcPr>
          <w:p>
            <w:pPr>
              <w:keepLines w:val="0"/>
              <w:pageBreakBefore w:val="0"/>
              <w:kinsoku/>
              <w:wordWrap/>
              <w:topLinePunct w:val="0"/>
              <w:bidi w:val="0"/>
              <w:spacing w:line="240" w:lineRule="auto"/>
              <w:rPr>
                <w:rFonts w:hint="eastAsia" w:ascii="宋体" w:hAnsi="宋体" w:eastAsia="宋体" w:cs="宋体"/>
                <w:sz w:val="21"/>
                <w:szCs w:val="21"/>
              </w:rPr>
            </w:pPr>
            <w:r>
              <w:rPr>
                <w:rFonts w:hint="eastAsia" w:ascii="宋体" w:hAnsi="宋体" w:eastAsia="宋体" w:cs="宋体"/>
                <w:sz w:val="21"/>
                <w:szCs w:val="21"/>
              </w:rPr>
              <w:t>资源</w:t>
            </w:r>
          </w:p>
        </w:tc>
        <w:tc>
          <w:tcPr>
            <w:tcW w:w="1228" w:type="dxa"/>
            <w:vAlign w:val="center"/>
          </w:tcPr>
          <w:p>
            <w:pPr>
              <w:keepLines w:val="0"/>
              <w:pageBreakBefore w:val="0"/>
              <w:kinsoku/>
              <w:wordWrap/>
              <w:topLinePunct w:val="0"/>
              <w:bidi w:val="0"/>
              <w:spacing w:line="240" w:lineRule="auto"/>
              <w:rPr>
                <w:rFonts w:hint="eastAsia" w:ascii="宋体" w:hAnsi="宋体" w:eastAsia="宋体" w:cs="宋体"/>
                <w:sz w:val="21"/>
                <w:szCs w:val="21"/>
              </w:rPr>
            </w:pPr>
            <w:r>
              <w:rPr>
                <w:rFonts w:hint="eastAsia" w:ascii="宋体" w:hAnsi="宋体" w:eastAsia="宋体" w:cs="宋体"/>
                <w:sz w:val="21"/>
                <w:szCs w:val="21"/>
              </w:rPr>
              <w:t xml:space="preserve">  </w:t>
            </w:r>
          </w:p>
          <w:p>
            <w:pPr>
              <w:keepLines w:val="0"/>
              <w:pageBreakBefore w:val="0"/>
              <w:kinsoku/>
              <w:wordWrap/>
              <w:topLinePunct w:val="0"/>
              <w:bidi w:val="0"/>
              <w:spacing w:line="240" w:lineRule="auto"/>
              <w:rPr>
                <w:rFonts w:hint="eastAsia" w:ascii="宋体" w:hAnsi="宋体" w:eastAsia="宋体" w:cs="宋体"/>
                <w:sz w:val="21"/>
                <w:szCs w:val="21"/>
              </w:rPr>
            </w:pPr>
            <w:r>
              <w:rPr>
                <w:rFonts w:hint="eastAsia" w:ascii="宋体" w:hAnsi="宋体" w:eastAsia="宋体" w:cs="宋体"/>
                <w:sz w:val="21"/>
                <w:szCs w:val="21"/>
              </w:rPr>
              <w:t>Q</w:t>
            </w:r>
            <w:r>
              <w:rPr>
                <w:rFonts w:hint="eastAsia" w:ascii="宋体" w:hAnsi="宋体" w:eastAsia="宋体" w:cs="宋体"/>
                <w:sz w:val="21"/>
                <w:szCs w:val="21"/>
                <w:lang w:val="en-US" w:eastAsia="zh-CN"/>
              </w:rPr>
              <w:t>EO</w:t>
            </w:r>
            <w:r>
              <w:rPr>
                <w:rFonts w:hint="eastAsia" w:ascii="宋体" w:hAnsi="宋体" w:eastAsia="宋体" w:cs="宋体"/>
                <w:sz w:val="21"/>
                <w:szCs w:val="21"/>
              </w:rPr>
              <w:t>：7.1</w:t>
            </w:r>
          </w:p>
        </w:tc>
        <w:tc>
          <w:tcPr>
            <w:tcW w:w="10943" w:type="dxa"/>
            <w:vAlign w:val="center"/>
          </w:tcPr>
          <w:p>
            <w:pPr>
              <w:keepLines w:val="0"/>
              <w:pageBreakBefore w:val="0"/>
              <w:kinsoku/>
              <w:wordWrap/>
              <w:topLinePunct w:val="0"/>
              <w:bidi w:val="0"/>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总经理郝妍主持了今年的管理评审，对方针、目标的适宜性进行了评审，协助管代进行了内审，确保所需资源得到满足。</w:t>
            </w:r>
          </w:p>
          <w:p>
            <w:pPr>
              <w:keepLines w:val="0"/>
              <w:pageBreakBefore w:val="0"/>
              <w:kinsoku/>
              <w:wordWrap/>
              <w:topLinePunct w:val="0"/>
              <w:bidi w:val="0"/>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为确保公司环保、安全资金得得以保障，公司每年制定专门预算，及时提供有关资金，确保本公司各项资金及时到位，保证环保、安全活动得到实施，达到预防污染、安全第一的活动目的。经了解组织环保、安全主要投入到固废分类处置、劳保、体检、消防、（高温补助、取暖费、口罩）福利费用和疫情防护等投入方面。</w:t>
            </w:r>
          </w:p>
          <w:p>
            <w:pPr>
              <w:keepLines w:val="0"/>
              <w:pageBreakBefore w:val="0"/>
              <w:kinsoku/>
              <w:wordWrap/>
              <w:topLinePunct w:val="0"/>
              <w:bidi w:val="0"/>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通过现场观察及与领导沟通了解到，公司为确保管理体系的有效运行和持续改进，确保满足顾客要求，增强顾客满意，确定并提供了必要的资源，目前资源配备基本能满足要求，机构设置合理。经过管理体系运行证明，现有资源可满足体系和产品的要求。</w:t>
            </w:r>
          </w:p>
          <w:p>
            <w:pPr>
              <w:keepLines w:val="0"/>
              <w:pageBreakBefore w:val="0"/>
              <w:kinsoku/>
              <w:wordWrap/>
              <w:topLinePunct w:val="0"/>
              <w:bidi w:val="0"/>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公司目前的基础设施，能够满足当前质量/环境/职业健康安全/体系的要求。公司将依据经营发展的需要，会不断补充与增加。</w:t>
            </w:r>
          </w:p>
        </w:tc>
        <w:tc>
          <w:tcPr>
            <w:tcW w:w="646" w:type="dxa"/>
            <w:vAlign w:val="top"/>
          </w:tcPr>
          <w:p>
            <w:pPr>
              <w:keepLines w:val="0"/>
              <w:pageBreakBefore w:val="0"/>
              <w:kinsoku/>
              <w:wordWrap/>
              <w:topLinePunct w:val="0"/>
              <w:bidi w:val="0"/>
              <w:spacing w:line="24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92" w:type="dxa"/>
            <w:vAlign w:val="center"/>
          </w:tcPr>
          <w:p>
            <w:pPr>
              <w:keepLines w:val="0"/>
              <w:pageBreakBefore w:val="0"/>
              <w:kinsoku/>
              <w:wordWrap/>
              <w:topLinePunct w:val="0"/>
              <w:bidi w:val="0"/>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意识</w:t>
            </w:r>
          </w:p>
        </w:tc>
        <w:tc>
          <w:tcPr>
            <w:tcW w:w="1228" w:type="dxa"/>
            <w:vAlign w:val="center"/>
          </w:tcPr>
          <w:p>
            <w:pPr>
              <w:keepLines w:val="0"/>
              <w:pageBreakBefore w:val="0"/>
              <w:kinsoku/>
              <w:wordWrap/>
              <w:topLinePunct w:val="0"/>
              <w:bidi w:val="0"/>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QEO7.3</w:t>
            </w:r>
          </w:p>
        </w:tc>
        <w:tc>
          <w:tcPr>
            <w:tcW w:w="10943" w:type="dxa"/>
            <w:vAlign w:val="top"/>
          </w:tcPr>
          <w:p>
            <w:pPr>
              <w:keepNext w:val="0"/>
              <w:keepLines w:val="0"/>
              <w:pageBreakBefore w:val="0"/>
              <w:kinsoku/>
              <w:wordWrap/>
              <w:overflowPunct/>
              <w:topLinePunct w:val="0"/>
              <w:autoSpaceDE/>
              <w:autoSpaceDN/>
              <w:bidi w:val="0"/>
              <w:spacing w:line="240" w:lineRule="auto"/>
              <w:rPr>
                <w:rFonts w:hint="eastAsia" w:ascii="宋体" w:hAnsi="宋体" w:eastAsia="宋体" w:cs="宋体"/>
                <w:sz w:val="21"/>
                <w:szCs w:val="21"/>
              </w:rPr>
            </w:pPr>
            <w:r>
              <w:rPr>
                <w:rFonts w:hint="eastAsia" w:ascii="宋体" w:hAnsi="宋体" w:eastAsia="宋体" w:cs="宋体"/>
                <w:sz w:val="21"/>
                <w:szCs w:val="21"/>
              </w:rPr>
              <w:t>公司通过宣导、培训、制度约束等方式确保员工能意识到他们从事的活动的相关性及重要性，以及他们对贯彻方针、达成目标及实现</w:t>
            </w:r>
            <w:r>
              <w:rPr>
                <w:rFonts w:hint="eastAsia" w:ascii="宋体" w:hAnsi="宋体" w:eastAsia="宋体" w:cs="宋体"/>
                <w:sz w:val="21"/>
                <w:szCs w:val="21"/>
                <w:lang w:eastAsia="zh-CN"/>
              </w:rPr>
              <w:t>管理体系</w:t>
            </w:r>
            <w:r>
              <w:rPr>
                <w:rFonts w:hint="eastAsia" w:ascii="宋体" w:hAnsi="宋体" w:eastAsia="宋体" w:cs="宋体"/>
                <w:sz w:val="21"/>
                <w:szCs w:val="21"/>
              </w:rPr>
              <w:t>的有效性的积极贡献，以及其不符合</w:t>
            </w:r>
            <w:r>
              <w:rPr>
                <w:rFonts w:hint="eastAsia" w:ascii="宋体" w:hAnsi="宋体" w:eastAsia="宋体" w:cs="宋体"/>
                <w:sz w:val="21"/>
                <w:szCs w:val="21"/>
                <w:lang w:eastAsia="zh-CN"/>
              </w:rPr>
              <w:t>管理体系</w:t>
            </w:r>
            <w:r>
              <w:rPr>
                <w:rFonts w:hint="eastAsia" w:ascii="宋体" w:hAnsi="宋体" w:eastAsia="宋体" w:cs="宋体"/>
                <w:sz w:val="21"/>
                <w:szCs w:val="21"/>
              </w:rPr>
              <w:t>要求的后果。</w:t>
            </w:r>
          </w:p>
          <w:p>
            <w:pPr>
              <w:keepNext w:val="0"/>
              <w:keepLines w:val="0"/>
              <w:pageBreakBefore w:val="0"/>
              <w:kinsoku/>
              <w:wordWrap/>
              <w:overflowPunct/>
              <w:topLinePunct w:val="0"/>
              <w:autoSpaceDE/>
              <w:autoSpaceDN/>
              <w:bidi w:val="0"/>
              <w:spacing w:line="24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---经与员工</w:t>
            </w:r>
            <w:r>
              <w:rPr>
                <w:rFonts w:hint="eastAsia" w:ascii="宋体" w:hAnsi="宋体" w:eastAsia="宋体" w:cs="宋体"/>
                <w:sz w:val="21"/>
                <w:szCs w:val="21"/>
                <w:lang w:val="en-US" w:eastAsia="zh-CN"/>
              </w:rPr>
              <w:t>董军</w:t>
            </w:r>
            <w:r>
              <w:rPr>
                <w:rFonts w:hint="eastAsia" w:ascii="宋体" w:hAnsi="宋体" w:eastAsia="宋体" w:cs="宋体"/>
                <w:sz w:val="21"/>
                <w:szCs w:val="21"/>
              </w:rPr>
              <w:t>沟通了解，基本具备以上必要</w:t>
            </w:r>
            <w:r>
              <w:rPr>
                <w:rFonts w:hint="eastAsia" w:ascii="宋体" w:hAnsi="宋体" w:eastAsia="宋体" w:cs="宋体"/>
                <w:sz w:val="21"/>
                <w:szCs w:val="21"/>
                <w:lang w:eastAsia="zh-CN"/>
              </w:rPr>
              <w:t>管理体系</w:t>
            </w:r>
            <w:r>
              <w:rPr>
                <w:rFonts w:hint="eastAsia" w:ascii="宋体" w:hAnsi="宋体" w:eastAsia="宋体" w:cs="宋体"/>
                <w:sz w:val="21"/>
                <w:szCs w:val="21"/>
              </w:rPr>
              <w:t>相关意识。</w:t>
            </w:r>
          </w:p>
        </w:tc>
        <w:tc>
          <w:tcPr>
            <w:tcW w:w="646" w:type="dxa"/>
            <w:vAlign w:val="top"/>
          </w:tcPr>
          <w:p>
            <w:pPr>
              <w:keepLines w:val="0"/>
              <w:pageBreakBefore w:val="0"/>
              <w:kinsoku/>
              <w:wordWrap/>
              <w:topLinePunct w:val="0"/>
              <w:bidi w:val="0"/>
              <w:spacing w:line="24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1892" w:type="dxa"/>
            <w:vAlign w:val="center"/>
          </w:tcPr>
          <w:p>
            <w:pPr>
              <w:keepLines w:val="0"/>
              <w:pageBreakBefore w:val="0"/>
              <w:kinsoku/>
              <w:wordWrap/>
              <w:topLinePunct w:val="0"/>
              <w:bidi w:val="0"/>
              <w:spacing w:line="240" w:lineRule="auto"/>
              <w:rPr>
                <w:rFonts w:hint="eastAsia" w:ascii="宋体" w:hAnsi="宋体" w:eastAsia="宋体" w:cs="宋体"/>
                <w:sz w:val="21"/>
                <w:szCs w:val="21"/>
              </w:rPr>
            </w:pPr>
          </w:p>
          <w:p>
            <w:pPr>
              <w:keepLines w:val="0"/>
              <w:pageBreakBefore w:val="0"/>
              <w:kinsoku/>
              <w:wordWrap/>
              <w:topLinePunct w:val="0"/>
              <w:bidi w:val="0"/>
              <w:spacing w:line="240" w:lineRule="auto"/>
              <w:rPr>
                <w:rFonts w:hint="eastAsia" w:ascii="宋体" w:hAnsi="宋体" w:eastAsia="宋体" w:cs="宋体"/>
                <w:sz w:val="21"/>
                <w:szCs w:val="21"/>
              </w:rPr>
            </w:pPr>
          </w:p>
          <w:p>
            <w:pPr>
              <w:keepLines w:val="0"/>
              <w:pageBreakBefore w:val="0"/>
              <w:kinsoku/>
              <w:wordWrap/>
              <w:topLinePunct w:val="0"/>
              <w:bidi w:val="0"/>
              <w:spacing w:line="240" w:lineRule="auto"/>
              <w:rPr>
                <w:rFonts w:hint="eastAsia" w:ascii="宋体" w:hAnsi="宋体" w:eastAsia="宋体" w:cs="宋体"/>
                <w:sz w:val="21"/>
                <w:szCs w:val="21"/>
              </w:rPr>
            </w:pPr>
          </w:p>
          <w:p>
            <w:pPr>
              <w:keepLines w:val="0"/>
              <w:pageBreakBefore w:val="0"/>
              <w:kinsoku/>
              <w:wordWrap/>
              <w:topLinePunct w:val="0"/>
              <w:bidi w:val="0"/>
              <w:spacing w:line="240" w:lineRule="auto"/>
              <w:rPr>
                <w:rFonts w:hint="eastAsia" w:ascii="宋体" w:hAnsi="宋体" w:eastAsia="宋体" w:cs="宋体"/>
                <w:sz w:val="21"/>
                <w:szCs w:val="21"/>
              </w:rPr>
            </w:pPr>
            <w:r>
              <w:rPr>
                <w:rFonts w:hint="eastAsia" w:ascii="宋体" w:hAnsi="宋体" w:eastAsia="宋体" w:cs="宋体"/>
                <w:sz w:val="21"/>
                <w:szCs w:val="21"/>
              </w:rPr>
              <w:t>信息交流、沟通</w:t>
            </w:r>
          </w:p>
        </w:tc>
        <w:tc>
          <w:tcPr>
            <w:tcW w:w="1228" w:type="dxa"/>
            <w:vAlign w:val="center"/>
          </w:tcPr>
          <w:p>
            <w:pPr>
              <w:keepLines w:val="0"/>
              <w:pageBreakBefore w:val="0"/>
              <w:kinsoku/>
              <w:wordWrap/>
              <w:topLinePunct w:val="0"/>
              <w:bidi w:val="0"/>
              <w:spacing w:line="240" w:lineRule="auto"/>
              <w:rPr>
                <w:rFonts w:hint="eastAsia" w:ascii="宋体" w:hAnsi="宋体" w:eastAsia="宋体" w:cs="宋体"/>
                <w:sz w:val="21"/>
                <w:szCs w:val="21"/>
              </w:rPr>
            </w:pPr>
          </w:p>
          <w:p>
            <w:pPr>
              <w:keepLines w:val="0"/>
              <w:pageBreakBefore w:val="0"/>
              <w:kinsoku/>
              <w:wordWrap/>
              <w:topLinePunct w:val="0"/>
              <w:bidi w:val="0"/>
              <w:spacing w:line="240" w:lineRule="auto"/>
              <w:rPr>
                <w:rFonts w:hint="eastAsia" w:ascii="宋体" w:hAnsi="宋体" w:eastAsia="宋体" w:cs="宋体"/>
                <w:sz w:val="21"/>
                <w:szCs w:val="21"/>
              </w:rPr>
            </w:pPr>
          </w:p>
          <w:p>
            <w:pPr>
              <w:keepLines w:val="0"/>
              <w:pageBreakBefore w:val="0"/>
              <w:kinsoku/>
              <w:wordWrap/>
              <w:topLinePunct w:val="0"/>
              <w:bidi w:val="0"/>
              <w:spacing w:line="240" w:lineRule="auto"/>
              <w:rPr>
                <w:rFonts w:hint="eastAsia" w:ascii="宋体" w:hAnsi="宋体" w:eastAsia="宋体" w:cs="宋体"/>
                <w:sz w:val="21"/>
                <w:szCs w:val="21"/>
              </w:rPr>
            </w:pPr>
            <w:r>
              <w:rPr>
                <w:rFonts w:hint="eastAsia" w:ascii="宋体" w:hAnsi="宋体" w:eastAsia="宋体" w:cs="宋体"/>
                <w:sz w:val="21"/>
                <w:szCs w:val="21"/>
              </w:rPr>
              <w:t>Q</w:t>
            </w:r>
            <w:r>
              <w:rPr>
                <w:rFonts w:hint="eastAsia" w:ascii="宋体" w:hAnsi="宋体" w:eastAsia="宋体" w:cs="宋体"/>
                <w:sz w:val="21"/>
                <w:szCs w:val="21"/>
                <w:lang w:val="en-US" w:eastAsia="zh-CN"/>
              </w:rPr>
              <w:t>EO</w:t>
            </w:r>
            <w:r>
              <w:rPr>
                <w:rFonts w:hint="eastAsia" w:ascii="宋体" w:hAnsi="宋体" w:eastAsia="宋体" w:cs="宋体"/>
                <w:sz w:val="21"/>
                <w:szCs w:val="21"/>
              </w:rPr>
              <w:t xml:space="preserve">：7.4  </w:t>
            </w:r>
          </w:p>
          <w:p>
            <w:pPr>
              <w:keepLines w:val="0"/>
              <w:pageBreakBefore w:val="0"/>
              <w:kinsoku/>
              <w:wordWrap/>
              <w:topLinePunct w:val="0"/>
              <w:bidi w:val="0"/>
              <w:spacing w:line="240" w:lineRule="auto"/>
              <w:rPr>
                <w:rFonts w:hint="eastAsia" w:ascii="宋体" w:hAnsi="宋体" w:eastAsia="宋体" w:cs="宋体"/>
                <w:sz w:val="21"/>
                <w:szCs w:val="21"/>
              </w:rPr>
            </w:pPr>
          </w:p>
        </w:tc>
        <w:tc>
          <w:tcPr>
            <w:tcW w:w="10943" w:type="dxa"/>
            <w:vAlign w:val="center"/>
          </w:tcPr>
          <w:p>
            <w:pPr>
              <w:keepLines w:val="0"/>
              <w:pageBreakBefore w:val="0"/>
              <w:kinsoku/>
              <w:wordWrap/>
              <w:topLinePunct w:val="0"/>
              <w:bidi w:val="0"/>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编制了《沟通控制程序》，规定：组织在各部门之间建立了与体系有关的信息通渠沟道，借助于会议、电话、口头交流等方式使全体员工达到沟通和理解。目前各部门协调一致，工作上的接口基本理顺。</w:t>
            </w:r>
          </w:p>
          <w:p>
            <w:pPr>
              <w:keepLines w:val="0"/>
              <w:pageBreakBefore w:val="0"/>
              <w:tabs>
                <w:tab w:val="left" w:pos="9720"/>
                <w:tab w:val="left" w:pos="9900"/>
              </w:tabs>
              <w:kinsoku/>
              <w:wordWrap/>
              <w:topLinePunct w:val="0"/>
              <w:bidi w:val="0"/>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 xml:space="preserve">总经理郝妍定期主持经营办公例会，分析公司的发展、市场情况和体系运行是否有效，管理目标完成情况，满足顾客要求和法规程度，改进建议等内部管理存在问题等。  </w:t>
            </w:r>
          </w:p>
          <w:p>
            <w:pPr>
              <w:keepLines w:val="0"/>
              <w:pageBreakBefore w:val="0"/>
              <w:tabs>
                <w:tab w:val="center" w:pos="3169"/>
              </w:tabs>
              <w:kinsoku/>
              <w:wordWrap/>
              <w:topLinePunct w:val="0"/>
              <w:bidi w:val="0"/>
              <w:spacing w:line="24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查见内部交流主要通过直接面谈、会议、文件、培训方式，外部交流主要通过电话、信函方式。也可以通过工会等员工权益机构提出诉求。</w:t>
            </w:r>
          </w:p>
          <w:p>
            <w:pPr>
              <w:keepLines w:val="0"/>
              <w:pageBreakBefore w:val="0"/>
              <w:kinsoku/>
              <w:wordWrap/>
              <w:topLinePunct w:val="0"/>
              <w:bidi w:val="0"/>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行政部是内外部信息交流的中心，通过会议、邮件、培训等形式进行内部交流，向外部接收各种文件传递各种报表，外部沟通联络的部门有环保部门、劳动部门、消防安全部门、质监部门、安监部门及合同方等。</w:t>
            </w:r>
          </w:p>
          <w:p>
            <w:pPr>
              <w:keepLines w:val="0"/>
              <w:pageBreakBefore w:val="0"/>
              <w:kinsoku/>
              <w:wordWrap/>
              <w:topLinePunct w:val="0"/>
              <w:bidi w:val="0"/>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经交流：目前与环保、劳动、消防、安监部门的信息交流主要是参加会议、接收来文、电话、邮件等，均按要求予以传达和落实，沟通情况较好。</w:t>
            </w:r>
          </w:p>
          <w:p>
            <w:pPr>
              <w:keepLines w:val="0"/>
              <w:pageBreakBefore w:val="0"/>
              <w:kinsoku/>
              <w:wordWrap/>
              <w:topLinePunct w:val="0"/>
              <w:bidi w:val="0"/>
              <w:spacing w:line="240" w:lineRule="auto"/>
              <w:rPr>
                <w:rFonts w:hint="eastAsia" w:ascii="宋体" w:hAnsi="宋体" w:eastAsia="宋体" w:cs="宋体"/>
                <w:sz w:val="21"/>
                <w:szCs w:val="21"/>
              </w:rPr>
            </w:pPr>
            <w:r>
              <w:rPr>
                <w:rFonts w:hint="eastAsia" w:ascii="宋体" w:hAnsi="宋体" w:eastAsia="宋体" w:cs="宋体"/>
                <w:sz w:val="21"/>
                <w:szCs w:val="21"/>
              </w:rPr>
              <w:t>现有的沟通渠道和方法能满足要求。审核中未发现因沟通不利不及时而造成（影响）某项工作不能正常运行的情况。</w:t>
            </w:r>
          </w:p>
        </w:tc>
        <w:tc>
          <w:tcPr>
            <w:tcW w:w="646" w:type="dxa"/>
            <w:vAlign w:val="top"/>
          </w:tcPr>
          <w:p>
            <w:pPr>
              <w:keepLines w:val="0"/>
              <w:pageBreakBefore w:val="0"/>
              <w:kinsoku/>
              <w:wordWrap/>
              <w:topLinePunct w:val="0"/>
              <w:bidi w:val="0"/>
              <w:spacing w:line="24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892" w:type="dxa"/>
          </w:tcPr>
          <w:p>
            <w:pPr>
              <w:pStyle w:val="4"/>
              <w:keepLines w:val="0"/>
              <w:pageBreakBefore w:val="0"/>
              <w:kinsoku/>
              <w:wordWrap/>
              <w:topLinePunct w:val="0"/>
              <w:bidi w:val="0"/>
              <w:spacing w:line="240" w:lineRule="auto"/>
              <w:rPr>
                <w:rFonts w:hint="eastAsia" w:ascii="宋体" w:hAnsi="宋体" w:eastAsia="宋体" w:cs="宋体"/>
                <w:b/>
                <w:bCs/>
                <w:sz w:val="21"/>
                <w:szCs w:val="21"/>
                <w:lang w:bidi="ar"/>
              </w:rPr>
            </w:pPr>
            <w:r>
              <w:rPr>
                <w:rFonts w:hint="eastAsia" w:ascii="宋体" w:hAnsi="宋体" w:eastAsia="宋体" w:cs="宋体"/>
                <w:sz w:val="21"/>
                <w:szCs w:val="21"/>
                <w:lang w:bidi="ar"/>
              </w:rPr>
              <w:t>监视、测量、分析和评价</w:t>
            </w:r>
          </w:p>
        </w:tc>
        <w:tc>
          <w:tcPr>
            <w:tcW w:w="1228" w:type="dxa"/>
          </w:tcPr>
          <w:p>
            <w:pPr>
              <w:pStyle w:val="5"/>
              <w:keepLines w:val="0"/>
              <w:pageBreakBefore w:val="0"/>
              <w:kinsoku/>
              <w:wordWrap/>
              <w:topLinePunct w:val="0"/>
              <w:bidi w:val="0"/>
              <w:spacing w:line="240" w:lineRule="auto"/>
              <w:ind w:left="0"/>
              <w:rPr>
                <w:rFonts w:hint="eastAsia" w:ascii="宋体" w:hAnsi="宋体" w:eastAsia="宋体" w:cs="宋体"/>
                <w:sz w:val="21"/>
                <w:szCs w:val="21"/>
              </w:rPr>
            </w:pPr>
            <w:r>
              <w:rPr>
                <w:rFonts w:hint="eastAsia" w:ascii="宋体" w:hAnsi="宋体" w:eastAsia="宋体" w:cs="宋体"/>
                <w:spacing w:val="-6"/>
                <w:sz w:val="21"/>
                <w:szCs w:val="21"/>
              </w:rPr>
              <w:t>Q：9.1.1</w:t>
            </w:r>
          </w:p>
        </w:tc>
        <w:tc>
          <w:tcPr>
            <w:tcW w:w="10943" w:type="dxa"/>
            <w:vAlign w:val="center"/>
          </w:tcPr>
          <w:p>
            <w:pPr>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组织策划了对绩效的监视和测量，对绩效的分析和评价，对事项进行汇报的程序等。保留了必要的记录文件。</w:t>
            </w:r>
          </w:p>
          <w:p>
            <w:pPr>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bidi="ar"/>
              </w:rPr>
            </w:pPr>
            <w:r>
              <w:rPr>
                <w:rFonts w:hint="eastAsia" w:ascii="宋体" w:hAnsi="宋体" w:eastAsia="宋体" w:cs="宋体"/>
                <w:sz w:val="21"/>
                <w:szCs w:val="21"/>
              </w:rPr>
              <w:t>公司通过管理评审和内部审核，以及定期的目标考核，对发现的问题采取纠正和必要的纠正措施，确保管理体系绩效和有效性。</w:t>
            </w:r>
          </w:p>
        </w:tc>
        <w:tc>
          <w:tcPr>
            <w:tcW w:w="646" w:type="dxa"/>
            <w:vAlign w:val="top"/>
          </w:tcPr>
          <w:p>
            <w:pPr>
              <w:keepLines w:val="0"/>
              <w:pageBreakBefore w:val="0"/>
              <w:kinsoku/>
              <w:wordWrap/>
              <w:topLinePunct w:val="0"/>
              <w:bidi w:val="0"/>
              <w:spacing w:line="24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892" w:type="dxa"/>
          </w:tcPr>
          <w:p>
            <w:pPr>
              <w:keepLines w:val="0"/>
              <w:pageBreakBefore w:val="0"/>
              <w:kinsoku/>
              <w:wordWrap/>
              <w:topLinePunct w:val="0"/>
              <w:bidi w:val="0"/>
              <w:spacing w:line="240" w:lineRule="auto"/>
              <w:rPr>
                <w:rFonts w:hint="eastAsia" w:ascii="宋体" w:hAnsi="宋体" w:eastAsia="宋体" w:cs="宋体"/>
                <w:color w:val="000000" w:themeColor="text1"/>
                <w:sz w:val="21"/>
                <w:szCs w:val="21"/>
              </w:rPr>
            </w:pPr>
          </w:p>
          <w:p>
            <w:pPr>
              <w:keepLines w:val="0"/>
              <w:pageBreakBefore w:val="0"/>
              <w:kinsoku/>
              <w:wordWrap/>
              <w:topLinePunct w:val="0"/>
              <w:bidi w:val="0"/>
              <w:spacing w:line="240" w:lineRule="auto"/>
              <w:rPr>
                <w:rFonts w:hint="eastAsia" w:ascii="宋体" w:hAnsi="宋体" w:eastAsia="宋体" w:cs="宋体"/>
                <w:color w:val="000000" w:themeColor="text1"/>
                <w:sz w:val="21"/>
                <w:szCs w:val="21"/>
              </w:rPr>
            </w:pPr>
          </w:p>
          <w:p>
            <w:pPr>
              <w:keepLines w:val="0"/>
              <w:pageBreakBefore w:val="0"/>
              <w:kinsoku/>
              <w:wordWrap/>
              <w:topLinePunct w:val="0"/>
              <w:bidi w:val="0"/>
              <w:spacing w:line="240" w:lineRule="auto"/>
              <w:rPr>
                <w:rFonts w:hint="eastAsia" w:ascii="宋体" w:hAnsi="宋体" w:eastAsia="宋体" w:cs="宋体"/>
                <w:color w:val="000000" w:themeColor="text1"/>
                <w:sz w:val="21"/>
                <w:szCs w:val="21"/>
              </w:rPr>
            </w:pPr>
          </w:p>
          <w:p>
            <w:pPr>
              <w:keepLines w:val="0"/>
              <w:pageBreakBefore w:val="0"/>
              <w:kinsoku/>
              <w:wordWrap/>
              <w:topLinePunct w:val="0"/>
              <w:bidi w:val="0"/>
              <w:spacing w:line="240" w:lineRule="auto"/>
              <w:rPr>
                <w:rFonts w:hint="eastAsia" w:ascii="宋体" w:hAnsi="宋体" w:eastAsia="宋体" w:cs="宋体"/>
                <w:color w:val="000000" w:themeColor="text1"/>
                <w:sz w:val="21"/>
                <w:szCs w:val="21"/>
              </w:rPr>
            </w:pPr>
          </w:p>
          <w:p>
            <w:pPr>
              <w:keepLines w:val="0"/>
              <w:pageBreakBefore w:val="0"/>
              <w:kinsoku/>
              <w:wordWrap/>
              <w:topLinePunct w:val="0"/>
              <w:bidi w:val="0"/>
              <w:spacing w:line="240" w:lineRule="auto"/>
              <w:rPr>
                <w:rFonts w:hint="eastAsia" w:ascii="宋体" w:hAnsi="宋体" w:eastAsia="宋体" w:cs="宋体"/>
                <w:color w:val="000000" w:themeColor="text1"/>
                <w:sz w:val="21"/>
                <w:szCs w:val="21"/>
              </w:rPr>
            </w:pPr>
          </w:p>
          <w:p>
            <w:pPr>
              <w:keepLines w:val="0"/>
              <w:pageBreakBefore w:val="0"/>
              <w:kinsoku/>
              <w:wordWrap/>
              <w:topLinePunct w:val="0"/>
              <w:bidi w:val="0"/>
              <w:spacing w:line="240" w:lineRule="auto"/>
              <w:rPr>
                <w:rFonts w:hint="eastAsia" w:ascii="宋体" w:hAnsi="宋体" w:eastAsia="宋体" w:cs="宋体"/>
                <w:color w:val="000000" w:themeColor="text1"/>
                <w:sz w:val="21"/>
                <w:szCs w:val="21"/>
              </w:rPr>
            </w:pPr>
          </w:p>
          <w:p>
            <w:pPr>
              <w:keepLines w:val="0"/>
              <w:pageBreakBefore w:val="0"/>
              <w:kinsoku/>
              <w:wordWrap/>
              <w:topLinePunct w:val="0"/>
              <w:bidi w:val="0"/>
              <w:spacing w:line="240" w:lineRule="auto"/>
              <w:ind w:firstLine="210" w:firstLineChars="100"/>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管理评审</w:t>
            </w:r>
          </w:p>
          <w:p>
            <w:pPr>
              <w:keepLines w:val="0"/>
              <w:pageBreakBefore w:val="0"/>
              <w:kinsoku/>
              <w:wordWrap/>
              <w:topLinePunct w:val="0"/>
              <w:bidi w:val="0"/>
              <w:spacing w:line="240" w:lineRule="auto"/>
              <w:rPr>
                <w:rFonts w:hint="eastAsia" w:ascii="宋体" w:hAnsi="宋体" w:eastAsia="宋体" w:cs="宋体"/>
                <w:color w:val="000000" w:themeColor="text1"/>
                <w:sz w:val="21"/>
                <w:szCs w:val="21"/>
              </w:rPr>
            </w:pPr>
          </w:p>
        </w:tc>
        <w:tc>
          <w:tcPr>
            <w:tcW w:w="1228" w:type="dxa"/>
          </w:tcPr>
          <w:p>
            <w:pPr>
              <w:keepLines w:val="0"/>
              <w:pageBreakBefore w:val="0"/>
              <w:kinsoku/>
              <w:wordWrap/>
              <w:topLinePunct w:val="0"/>
              <w:bidi w:val="0"/>
              <w:spacing w:line="240" w:lineRule="auto"/>
              <w:rPr>
                <w:rFonts w:hint="eastAsia" w:ascii="宋体" w:hAnsi="宋体" w:eastAsia="宋体" w:cs="宋体"/>
                <w:sz w:val="21"/>
                <w:szCs w:val="21"/>
              </w:rPr>
            </w:pPr>
          </w:p>
          <w:p>
            <w:pPr>
              <w:keepLines w:val="0"/>
              <w:pageBreakBefore w:val="0"/>
              <w:kinsoku/>
              <w:wordWrap/>
              <w:topLinePunct w:val="0"/>
              <w:bidi w:val="0"/>
              <w:spacing w:line="240" w:lineRule="auto"/>
              <w:rPr>
                <w:rFonts w:hint="eastAsia" w:ascii="宋体" w:hAnsi="宋体" w:eastAsia="宋体" w:cs="宋体"/>
                <w:sz w:val="21"/>
                <w:szCs w:val="21"/>
              </w:rPr>
            </w:pPr>
          </w:p>
          <w:p>
            <w:pPr>
              <w:keepLines w:val="0"/>
              <w:pageBreakBefore w:val="0"/>
              <w:kinsoku/>
              <w:wordWrap/>
              <w:topLinePunct w:val="0"/>
              <w:bidi w:val="0"/>
              <w:spacing w:line="240" w:lineRule="auto"/>
              <w:rPr>
                <w:rFonts w:hint="eastAsia" w:ascii="宋体" w:hAnsi="宋体" w:eastAsia="宋体" w:cs="宋体"/>
                <w:sz w:val="21"/>
                <w:szCs w:val="21"/>
              </w:rPr>
            </w:pPr>
          </w:p>
          <w:p>
            <w:pPr>
              <w:keepLines w:val="0"/>
              <w:pageBreakBefore w:val="0"/>
              <w:kinsoku/>
              <w:wordWrap/>
              <w:topLinePunct w:val="0"/>
              <w:bidi w:val="0"/>
              <w:spacing w:line="240" w:lineRule="auto"/>
              <w:rPr>
                <w:rFonts w:hint="eastAsia" w:ascii="宋体" w:hAnsi="宋体" w:eastAsia="宋体" w:cs="宋体"/>
                <w:sz w:val="21"/>
                <w:szCs w:val="21"/>
              </w:rPr>
            </w:pPr>
          </w:p>
          <w:p>
            <w:pPr>
              <w:keepLines w:val="0"/>
              <w:pageBreakBefore w:val="0"/>
              <w:kinsoku/>
              <w:wordWrap/>
              <w:topLinePunct w:val="0"/>
              <w:bidi w:val="0"/>
              <w:spacing w:line="240" w:lineRule="auto"/>
              <w:rPr>
                <w:rFonts w:hint="eastAsia" w:ascii="宋体" w:hAnsi="宋体" w:eastAsia="宋体" w:cs="宋体"/>
                <w:sz w:val="21"/>
                <w:szCs w:val="21"/>
              </w:rPr>
            </w:pPr>
          </w:p>
          <w:p>
            <w:pPr>
              <w:keepLines w:val="0"/>
              <w:pageBreakBefore w:val="0"/>
              <w:kinsoku/>
              <w:wordWrap/>
              <w:topLinePunct w:val="0"/>
              <w:bidi w:val="0"/>
              <w:spacing w:line="240" w:lineRule="auto"/>
              <w:rPr>
                <w:rFonts w:hint="eastAsia" w:ascii="宋体" w:hAnsi="宋体" w:eastAsia="宋体" w:cs="宋体"/>
                <w:sz w:val="21"/>
                <w:szCs w:val="21"/>
              </w:rPr>
            </w:pPr>
          </w:p>
          <w:p>
            <w:pPr>
              <w:keepLines w:val="0"/>
              <w:pageBreakBefore w:val="0"/>
              <w:kinsoku/>
              <w:wordWrap/>
              <w:topLinePunct w:val="0"/>
              <w:bidi w:val="0"/>
              <w:spacing w:line="240" w:lineRule="auto"/>
              <w:rPr>
                <w:rFonts w:hint="eastAsia" w:ascii="宋体" w:hAnsi="宋体" w:eastAsia="宋体" w:cs="宋体"/>
                <w:color w:val="000000" w:themeColor="text1"/>
                <w:sz w:val="21"/>
                <w:szCs w:val="21"/>
              </w:rPr>
            </w:pPr>
            <w:r>
              <w:rPr>
                <w:rFonts w:hint="eastAsia" w:ascii="宋体" w:hAnsi="宋体" w:eastAsia="宋体" w:cs="宋体"/>
                <w:sz w:val="21"/>
                <w:szCs w:val="21"/>
              </w:rPr>
              <w:t>Q</w:t>
            </w:r>
            <w:r>
              <w:rPr>
                <w:rFonts w:hint="eastAsia" w:ascii="宋体" w:hAnsi="宋体" w:eastAsia="宋体" w:cs="宋体"/>
                <w:sz w:val="21"/>
                <w:szCs w:val="21"/>
                <w:lang w:val="en-US" w:eastAsia="zh-CN"/>
              </w:rPr>
              <w:t>EO</w:t>
            </w:r>
            <w:r>
              <w:rPr>
                <w:rFonts w:hint="eastAsia" w:ascii="宋体" w:hAnsi="宋体" w:eastAsia="宋体" w:cs="宋体"/>
                <w:sz w:val="21"/>
                <w:szCs w:val="21"/>
              </w:rPr>
              <w:t>：</w:t>
            </w:r>
            <w:r>
              <w:rPr>
                <w:rFonts w:hint="eastAsia" w:ascii="宋体" w:hAnsi="宋体" w:eastAsia="宋体" w:cs="宋体"/>
                <w:color w:val="000000" w:themeColor="text1"/>
                <w:sz w:val="21"/>
                <w:szCs w:val="21"/>
              </w:rPr>
              <w:t>9.3</w:t>
            </w:r>
          </w:p>
          <w:p>
            <w:pPr>
              <w:keepLines w:val="0"/>
              <w:pageBreakBefore w:val="0"/>
              <w:kinsoku/>
              <w:wordWrap/>
              <w:topLinePunct w:val="0"/>
              <w:bidi w:val="0"/>
              <w:spacing w:line="240" w:lineRule="auto"/>
              <w:rPr>
                <w:rFonts w:hint="eastAsia" w:ascii="宋体" w:hAnsi="宋体" w:eastAsia="宋体" w:cs="宋体"/>
                <w:color w:val="000000" w:themeColor="text1"/>
                <w:sz w:val="21"/>
                <w:szCs w:val="21"/>
              </w:rPr>
            </w:pPr>
          </w:p>
          <w:p>
            <w:pPr>
              <w:keepLines w:val="0"/>
              <w:pageBreakBefore w:val="0"/>
              <w:kinsoku/>
              <w:wordWrap/>
              <w:topLinePunct w:val="0"/>
              <w:bidi w:val="0"/>
              <w:spacing w:line="240" w:lineRule="auto"/>
              <w:rPr>
                <w:rFonts w:hint="eastAsia" w:ascii="宋体" w:hAnsi="宋体" w:eastAsia="宋体" w:cs="宋体"/>
                <w:sz w:val="21"/>
                <w:szCs w:val="21"/>
              </w:rPr>
            </w:pPr>
          </w:p>
        </w:tc>
        <w:tc>
          <w:tcPr>
            <w:tcW w:w="10943" w:type="dxa"/>
            <w:vAlign w:val="center"/>
          </w:tcPr>
          <w:p>
            <w:pPr>
              <w:keepLines w:val="0"/>
              <w:pageBreakBefore w:val="0"/>
              <w:kinsoku/>
              <w:wordWrap/>
              <w:topLinePunct w:val="0"/>
              <w:bidi w:val="0"/>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公司编制并实施《管理评审控制程序》，规定管理评审每年至少进行一次，根据具体情况可以增加，增加审核由</w:t>
            </w:r>
            <w:r>
              <w:rPr>
                <w:rFonts w:hint="eastAsia" w:ascii="宋体" w:hAnsi="宋体" w:eastAsia="宋体" w:cs="宋体"/>
                <w:sz w:val="21"/>
                <w:szCs w:val="21"/>
                <w:lang w:eastAsia="zh-CN"/>
              </w:rPr>
              <w:t>行政部</w:t>
            </w:r>
            <w:r>
              <w:rPr>
                <w:rFonts w:hint="eastAsia" w:ascii="宋体" w:hAnsi="宋体" w:eastAsia="宋体" w:cs="宋体"/>
                <w:sz w:val="21"/>
                <w:szCs w:val="21"/>
              </w:rPr>
              <w:t>提出审核计划，报管理者代表批准后实施。</w:t>
            </w:r>
          </w:p>
          <w:p>
            <w:pPr>
              <w:keepLines w:val="0"/>
              <w:pageBreakBefore w:val="0"/>
              <w:kinsoku/>
              <w:wordWrap/>
              <w:topLinePunct w:val="0"/>
              <w:bidi w:val="0"/>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查策划：在《管理评审程序》中明确了管理评审的实施要求。策划每年进行一次管理评审，间隔不超过12个月。</w:t>
            </w:r>
          </w:p>
          <w:p>
            <w:pPr>
              <w:keepLines w:val="0"/>
              <w:pageBreakBefore w:val="0"/>
              <w:kinsoku/>
              <w:wordWrap/>
              <w:topLinePunct w:val="0"/>
              <w:bidi w:val="0"/>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查阅公司管理评审资料，提供：</w:t>
            </w:r>
          </w:p>
          <w:p>
            <w:pPr>
              <w:keepLines w:val="0"/>
              <w:pageBreakBefore w:val="0"/>
              <w:kinsoku/>
              <w:wordWrap/>
              <w:topLinePunct w:val="0"/>
              <w:bidi w:val="0"/>
              <w:spacing w:line="240" w:lineRule="auto"/>
              <w:rPr>
                <w:rFonts w:hint="eastAsia" w:ascii="宋体" w:hAnsi="宋体" w:eastAsia="宋体" w:cs="宋体"/>
                <w:sz w:val="21"/>
                <w:szCs w:val="21"/>
              </w:rPr>
            </w:pPr>
            <w:r>
              <w:rPr>
                <w:rFonts w:hint="eastAsia" w:ascii="宋体" w:hAnsi="宋体" w:eastAsia="宋体" w:cs="宋体"/>
                <w:sz w:val="21"/>
                <w:szCs w:val="21"/>
              </w:rPr>
              <w:t>查《管理评审计划》</w:t>
            </w:r>
          </w:p>
          <w:p>
            <w:pPr>
              <w:keepLines w:val="0"/>
              <w:pageBreakBefore w:val="0"/>
              <w:kinsoku/>
              <w:wordWrap/>
              <w:topLinePunct w:val="0"/>
              <w:bidi w:val="0"/>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 xml:space="preserve">评审时间：计划 </w:t>
            </w:r>
            <w:r>
              <w:rPr>
                <w:rFonts w:hint="eastAsia" w:ascii="宋体" w:hAnsi="宋体" w:eastAsia="宋体" w:cs="宋体"/>
                <w:sz w:val="21"/>
                <w:szCs w:val="21"/>
                <w:lang w:val="en-US" w:eastAsia="zh-CN"/>
              </w:rPr>
              <w:t>2022年5月20日（上次审核时间为</w:t>
            </w:r>
            <w:r>
              <w:rPr>
                <w:rFonts w:hint="eastAsia" w:ascii="宋体" w:hAnsi="宋体" w:eastAsia="宋体" w:cs="宋体"/>
                <w:sz w:val="21"/>
                <w:szCs w:val="21"/>
              </w:rPr>
              <w:t>2021年5月25日</w:t>
            </w:r>
            <w:r>
              <w:rPr>
                <w:rFonts w:hint="eastAsia" w:ascii="宋体" w:hAnsi="宋体" w:eastAsia="宋体" w:cs="宋体"/>
                <w:sz w:val="21"/>
                <w:szCs w:val="21"/>
                <w:lang w:val="en-US" w:eastAsia="zh-CN"/>
              </w:rPr>
              <w:t>符合要求</w:t>
            </w:r>
            <w:r>
              <w:rPr>
                <w:rFonts w:hint="eastAsia" w:ascii="宋体" w:hAnsi="宋体" w:eastAsia="宋体" w:cs="宋体"/>
                <w:sz w:val="21"/>
                <w:szCs w:val="21"/>
                <w:lang w:eastAsia="zh-CN"/>
              </w:rPr>
              <w:t>）</w:t>
            </w:r>
            <w:r>
              <w:rPr>
                <w:rFonts w:hint="eastAsia" w:ascii="宋体" w:hAnsi="宋体" w:eastAsia="宋体" w:cs="宋体"/>
                <w:sz w:val="21"/>
                <w:szCs w:val="21"/>
              </w:rPr>
              <w:t>进行，评审方式：会议评审，</w:t>
            </w:r>
          </w:p>
          <w:p>
            <w:pPr>
              <w:pStyle w:val="5"/>
              <w:keepLines w:val="0"/>
              <w:pageBreakBefore w:val="0"/>
              <w:kinsoku/>
              <w:wordWrap/>
              <w:topLinePunct w:val="0"/>
              <w:bidi w:val="0"/>
              <w:spacing w:line="240" w:lineRule="auto"/>
              <w:ind w:left="0" w:firstLine="420" w:firstLineChars="200"/>
              <w:rPr>
                <w:rFonts w:hint="eastAsia" w:ascii="宋体" w:hAnsi="宋体" w:eastAsia="宋体" w:cs="宋体"/>
                <w:sz w:val="21"/>
                <w:szCs w:val="21"/>
              </w:rPr>
            </w:pPr>
            <w:r>
              <w:rPr>
                <w:rFonts w:hint="eastAsia" w:ascii="宋体" w:hAnsi="宋体" w:eastAsia="宋体" w:cs="宋体"/>
                <w:sz w:val="21"/>
                <w:szCs w:val="21"/>
              </w:rPr>
              <w:t>评审地点：会议室 ；</w:t>
            </w:r>
          </w:p>
          <w:p>
            <w:pPr>
              <w:pStyle w:val="5"/>
              <w:keepLines w:val="0"/>
              <w:pageBreakBefore w:val="0"/>
              <w:kinsoku/>
              <w:wordWrap/>
              <w:topLinePunct w:val="0"/>
              <w:bidi w:val="0"/>
              <w:spacing w:line="240" w:lineRule="auto"/>
              <w:ind w:left="0" w:firstLine="420" w:firstLineChars="200"/>
              <w:rPr>
                <w:rFonts w:hint="eastAsia" w:ascii="宋体" w:hAnsi="宋体" w:eastAsia="宋体" w:cs="宋体"/>
                <w:sz w:val="21"/>
                <w:szCs w:val="21"/>
              </w:rPr>
            </w:pPr>
            <w:r>
              <w:rPr>
                <w:rFonts w:hint="eastAsia" w:ascii="宋体" w:hAnsi="宋体" w:eastAsia="宋体" w:cs="宋体"/>
                <w:sz w:val="21"/>
                <w:szCs w:val="21"/>
              </w:rPr>
              <w:t>参加人员：总经理、管代及各部门负责人；</w:t>
            </w:r>
          </w:p>
          <w:p>
            <w:pPr>
              <w:keepLines w:val="0"/>
              <w:pageBreakBefore w:val="0"/>
              <w:kinsoku/>
              <w:wordWrap/>
              <w:topLinePunct w:val="0"/>
              <w:autoSpaceDE w:val="0"/>
              <w:autoSpaceDN w:val="0"/>
              <w:bidi w:val="0"/>
              <w:adjustRightInd w:val="0"/>
              <w:spacing w:line="240" w:lineRule="auto"/>
              <w:ind w:left="210" w:leftChars="100" w:firstLine="210" w:firstLineChars="100"/>
              <w:rPr>
                <w:rFonts w:hint="eastAsia" w:ascii="宋体" w:hAnsi="宋体" w:eastAsia="宋体" w:cs="宋体"/>
                <w:sz w:val="21"/>
                <w:szCs w:val="21"/>
              </w:rPr>
            </w:pPr>
            <w:r>
              <w:rPr>
                <w:rFonts w:hint="eastAsia" w:ascii="宋体" w:hAnsi="宋体" w:eastAsia="宋体" w:cs="宋体"/>
                <w:sz w:val="21"/>
                <w:szCs w:val="21"/>
              </w:rPr>
              <w:t>评审内容要点：</w:t>
            </w:r>
          </w:p>
          <w:p>
            <w:pPr>
              <w:keepLines w:val="0"/>
              <w:pageBreakBefore w:val="0"/>
              <w:kinsoku/>
              <w:wordWrap/>
              <w:topLinePunct w:val="0"/>
              <w:autoSpaceDE w:val="0"/>
              <w:autoSpaceDN w:val="0"/>
              <w:bidi w:val="0"/>
              <w:adjustRightInd w:val="0"/>
              <w:spacing w:line="240" w:lineRule="auto"/>
              <w:ind w:left="210" w:leftChars="100" w:firstLine="210" w:firstLineChars="100"/>
              <w:rPr>
                <w:rFonts w:hint="eastAsia" w:ascii="宋体" w:hAnsi="宋体" w:eastAsia="宋体" w:cs="宋体"/>
                <w:kern w:val="0"/>
                <w:sz w:val="21"/>
                <w:szCs w:val="21"/>
              </w:rPr>
            </w:pPr>
            <w:r>
              <w:rPr>
                <w:rFonts w:hint="eastAsia" w:ascii="宋体" w:hAnsi="宋体" w:eastAsia="宋体" w:cs="宋体"/>
                <w:kern w:val="0"/>
                <w:sz w:val="21"/>
                <w:szCs w:val="21"/>
              </w:rPr>
              <w:t>1、内部审核情况；</w:t>
            </w:r>
          </w:p>
          <w:p>
            <w:pPr>
              <w:keepLines w:val="0"/>
              <w:pageBreakBefore w:val="0"/>
              <w:kinsoku/>
              <w:wordWrap/>
              <w:topLinePunct w:val="0"/>
              <w:autoSpaceDE w:val="0"/>
              <w:autoSpaceDN w:val="0"/>
              <w:bidi w:val="0"/>
              <w:adjustRightInd w:val="0"/>
              <w:spacing w:line="240" w:lineRule="auto"/>
              <w:ind w:left="210" w:leftChars="100" w:firstLine="210" w:firstLineChars="100"/>
              <w:rPr>
                <w:rFonts w:hint="eastAsia" w:ascii="宋体" w:hAnsi="宋体" w:eastAsia="宋体" w:cs="宋体"/>
                <w:kern w:val="0"/>
                <w:sz w:val="21"/>
                <w:szCs w:val="21"/>
              </w:rPr>
            </w:pPr>
            <w:r>
              <w:rPr>
                <w:rFonts w:hint="eastAsia" w:ascii="宋体" w:hAnsi="宋体" w:eastAsia="宋体" w:cs="宋体"/>
                <w:kern w:val="0"/>
                <w:sz w:val="21"/>
                <w:szCs w:val="21"/>
              </w:rPr>
              <w:t>2、方针适宜性及质量目标达成情况；</w:t>
            </w:r>
          </w:p>
          <w:p>
            <w:pPr>
              <w:keepLines w:val="0"/>
              <w:pageBreakBefore w:val="0"/>
              <w:kinsoku/>
              <w:wordWrap/>
              <w:topLinePunct w:val="0"/>
              <w:autoSpaceDE w:val="0"/>
              <w:autoSpaceDN w:val="0"/>
              <w:bidi w:val="0"/>
              <w:adjustRightInd w:val="0"/>
              <w:spacing w:line="240" w:lineRule="auto"/>
              <w:ind w:left="210" w:leftChars="100" w:firstLine="210" w:firstLineChars="100"/>
              <w:rPr>
                <w:rFonts w:hint="eastAsia" w:ascii="宋体" w:hAnsi="宋体" w:eastAsia="宋体" w:cs="宋体"/>
                <w:kern w:val="0"/>
                <w:sz w:val="21"/>
                <w:szCs w:val="21"/>
              </w:rPr>
            </w:pPr>
            <w:r>
              <w:rPr>
                <w:rFonts w:hint="eastAsia" w:ascii="宋体" w:hAnsi="宋体" w:eastAsia="宋体" w:cs="宋体"/>
                <w:kern w:val="0"/>
                <w:sz w:val="21"/>
                <w:szCs w:val="21"/>
              </w:rPr>
              <w:t>3、顾客投诉及处理、客户满意度调查情况；</w:t>
            </w:r>
          </w:p>
          <w:p>
            <w:pPr>
              <w:keepLines w:val="0"/>
              <w:pageBreakBefore w:val="0"/>
              <w:kinsoku/>
              <w:wordWrap/>
              <w:topLinePunct w:val="0"/>
              <w:autoSpaceDE w:val="0"/>
              <w:autoSpaceDN w:val="0"/>
              <w:bidi w:val="0"/>
              <w:adjustRightInd w:val="0"/>
              <w:spacing w:line="240" w:lineRule="auto"/>
              <w:ind w:left="210" w:leftChars="100" w:firstLine="210" w:firstLineChars="100"/>
              <w:rPr>
                <w:rFonts w:hint="eastAsia" w:ascii="宋体" w:hAnsi="宋体" w:eastAsia="宋体" w:cs="宋体"/>
                <w:kern w:val="0"/>
                <w:sz w:val="21"/>
                <w:szCs w:val="21"/>
              </w:rPr>
            </w:pPr>
            <w:r>
              <w:rPr>
                <w:rFonts w:hint="eastAsia" w:ascii="宋体" w:hAnsi="宋体" w:eastAsia="宋体" w:cs="宋体"/>
                <w:kern w:val="0"/>
                <w:sz w:val="21"/>
                <w:szCs w:val="21"/>
              </w:rPr>
              <w:t>4、服务质量状况及过程业绩；</w:t>
            </w:r>
          </w:p>
          <w:p>
            <w:pPr>
              <w:keepLines w:val="0"/>
              <w:pageBreakBefore w:val="0"/>
              <w:kinsoku/>
              <w:wordWrap/>
              <w:topLinePunct w:val="0"/>
              <w:autoSpaceDE w:val="0"/>
              <w:autoSpaceDN w:val="0"/>
              <w:bidi w:val="0"/>
              <w:adjustRightInd w:val="0"/>
              <w:spacing w:line="240" w:lineRule="auto"/>
              <w:ind w:left="210" w:leftChars="100" w:firstLine="210" w:firstLineChars="100"/>
              <w:rPr>
                <w:rFonts w:hint="eastAsia" w:ascii="宋体" w:hAnsi="宋体" w:eastAsia="宋体" w:cs="宋体"/>
                <w:kern w:val="0"/>
                <w:sz w:val="21"/>
                <w:szCs w:val="21"/>
              </w:rPr>
            </w:pPr>
            <w:r>
              <w:rPr>
                <w:rFonts w:hint="eastAsia" w:ascii="宋体" w:hAnsi="宋体" w:eastAsia="宋体" w:cs="宋体"/>
                <w:kern w:val="0"/>
                <w:sz w:val="21"/>
                <w:szCs w:val="21"/>
              </w:rPr>
              <w:t>5、预防及纠正措施实施情况及效果性；</w:t>
            </w:r>
          </w:p>
          <w:p>
            <w:pPr>
              <w:keepLines w:val="0"/>
              <w:pageBreakBefore w:val="0"/>
              <w:kinsoku/>
              <w:wordWrap/>
              <w:topLinePunct w:val="0"/>
              <w:autoSpaceDE w:val="0"/>
              <w:autoSpaceDN w:val="0"/>
              <w:bidi w:val="0"/>
              <w:adjustRightInd w:val="0"/>
              <w:spacing w:line="240" w:lineRule="auto"/>
              <w:ind w:left="210" w:leftChars="100" w:firstLine="210" w:firstLineChars="100"/>
              <w:rPr>
                <w:rFonts w:hint="eastAsia" w:ascii="宋体" w:hAnsi="宋体" w:eastAsia="宋体" w:cs="宋体"/>
                <w:kern w:val="0"/>
                <w:sz w:val="21"/>
                <w:szCs w:val="21"/>
              </w:rPr>
            </w:pPr>
            <w:r>
              <w:rPr>
                <w:rFonts w:hint="eastAsia" w:ascii="宋体" w:hAnsi="宋体" w:eastAsia="宋体" w:cs="宋体"/>
                <w:kern w:val="0"/>
                <w:sz w:val="21"/>
                <w:szCs w:val="21"/>
              </w:rPr>
              <w:t>6、以往管理评审的跟踪措施；</w:t>
            </w:r>
          </w:p>
          <w:p>
            <w:pPr>
              <w:keepLines w:val="0"/>
              <w:pageBreakBefore w:val="0"/>
              <w:kinsoku/>
              <w:wordWrap/>
              <w:topLinePunct w:val="0"/>
              <w:autoSpaceDE w:val="0"/>
              <w:autoSpaceDN w:val="0"/>
              <w:bidi w:val="0"/>
              <w:adjustRightInd w:val="0"/>
              <w:spacing w:line="240" w:lineRule="auto"/>
              <w:ind w:left="210" w:leftChars="100" w:firstLine="210" w:firstLineChars="100"/>
              <w:rPr>
                <w:rFonts w:hint="eastAsia" w:ascii="宋体" w:hAnsi="宋体" w:eastAsia="宋体" w:cs="宋体"/>
                <w:kern w:val="0"/>
                <w:sz w:val="21"/>
                <w:szCs w:val="21"/>
              </w:rPr>
            </w:pPr>
            <w:r>
              <w:rPr>
                <w:rFonts w:hint="eastAsia" w:ascii="宋体" w:hAnsi="宋体" w:eastAsia="宋体" w:cs="宋体"/>
                <w:kern w:val="0"/>
                <w:sz w:val="21"/>
                <w:szCs w:val="21"/>
              </w:rPr>
              <w:t>7、体系的变更及改进的建议等。</w:t>
            </w:r>
          </w:p>
          <w:p>
            <w:pPr>
              <w:keepLines w:val="0"/>
              <w:pageBreakBefore w:val="0"/>
              <w:kinsoku/>
              <w:wordWrap/>
              <w:topLinePunct w:val="0"/>
              <w:autoSpaceDE w:val="0"/>
              <w:autoSpaceDN w:val="0"/>
              <w:bidi w:val="0"/>
              <w:adjustRightInd w:val="0"/>
              <w:spacing w:line="240" w:lineRule="auto"/>
              <w:ind w:left="210" w:leftChars="100" w:firstLine="210" w:firstLineChars="100"/>
              <w:rPr>
                <w:rFonts w:hint="eastAsia" w:ascii="宋体" w:hAnsi="宋体" w:eastAsia="宋体" w:cs="宋体"/>
                <w:kern w:val="0"/>
                <w:sz w:val="21"/>
                <w:szCs w:val="21"/>
              </w:rPr>
            </w:pPr>
            <w:r>
              <w:rPr>
                <w:rFonts w:hint="eastAsia" w:ascii="宋体" w:hAnsi="宋体" w:eastAsia="宋体" w:cs="宋体"/>
                <w:kern w:val="0"/>
                <w:sz w:val="21"/>
                <w:szCs w:val="21"/>
              </w:rPr>
              <w:t>8、资源的充分性。</w:t>
            </w:r>
          </w:p>
          <w:p>
            <w:pPr>
              <w:keepLines w:val="0"/>
              <w:pageBreakBefore w:val="0"/>
              <w:kinsoku/>
              <w:wordWrap/>
              <w:topLinePunct w:val="0"/>
              <w:autoSpaceDE w:val="0"/>
              <w:autoSpaceDN w:val="0"/>
              <w:bidi w:val="0"/>
              <w:adjustRightInd w:val="0"/>
              <w:spacing w:line="240" w:lineRule="auto"/>
              <w:ind w:left="210" w:leftChars="100" w:firstLine="210" w:firstLineChars="100"/>
              <w:rPr>
                <w:rFonts w:hint="eastAsia" w:ascii="宋体" w:hAnsi="宋体" w:eastAsia="宋体" w:cs="宋体"/>
                <w:kern w:val="0"/>
                <w:sz w:val="21"/>
                <w:szCs w:val="21"/>
              </w:rPr>
            </w:pPr>
            <w:r>
              <w:rPr>
                <w:rFonts w:hint="eastAsia" w:ascii="宋体" w:hAnsi="宋体" w:eastAsia="宋体" w:cs="宋体"/>
                <w:kern w:val="0"/>
                <w:sz w:val="21"/>
                <w:szCs w:val="21"/>
              </w:rPr>
              <w:t>9、风险和机遇措施的有效性。</w:t>
            </w:r>
          </w:p>
          <w:p>
            <w:pPr>
              <w:keepLines w:val="0"/>
              <w:pageBreakBefore w:val="0"/>
              <w:kinsoku/>
              <w:wordWrap/>
              <w:topLinePunct w:val="0"/>
              <w:autoSpaceDE w:val="0"/>
              <w:autoSpaceDN w:val="0"/>
              <w:bidi w:val="0"/>
              <w:adjustRightInd w:val="0"/>
              <w:spacing w:line="240" w:lineRule="auto"/>
              <w:ind w:left="210" w:leftChars="100" w:firstLine="210" w:firstLineChars="100"/>
              <w:rPr>
                <w:rFonts w:hint="eastAsia" w:ascii="宋体" w:hAnsi="宋体" w:eastAsia="宋体" w:cs="宋体"/>
                <w:kern w:val="0"/>
                <w:sz w:val="21"/>
                <w:szCs w:val="21"/>
              </w:rPr>
            </w:pPr>
            <w:r>
              <w:rPr>
                <w:rFonts w:hint="eastAsia" w:ascii="宋体" w:hAnsi="宋体" w:eastAsia="宋体" w:cs="宋体"/>
                <w:kern w:val="0"/>
                <w:sz w:val="21"/>
                <w:szCs w:val="21"/>
              </w:rPr>
              <w:t>10、企业内外部环境变化影响。</w:t>
            </w:r>
          </w:p>
          <w:p>
            <w:pPr>
              <w:keepLines w:val="0"/>
              <w:pageBreakBefore w:val="0"/>
              <w:kinsoku/>
              <w:wordWrap/>
              <w:topLinePunct w:val="0"/>
              <w:autoSpaceDE w:val="0"/>
              <w:autoSpaceDN w:val="0"/>
              <w:bidi w:val="0"/>
              <w:adjustRightInd w:val="0"/>
              <w:spacing w:line="240" w:lineRule="auto"/>
              <w:ind w:left="210" w:leftChars="100" w:firstLine="210" w:firstLineChars="100"/>
              <w:rPr>
                <w:rFonts w:hint="eastAsia" w:ascii="宋体" w:hAnsi="宋体" w:eastAsia="宋体" w:cs="宋体"/>
                <w:kern w:val="0"/>
                <w:sz w:val="21"/>
                <w:szCs w:val="21"/>
              </w:rPr>
            </w:pPr>
            <w:r>
              <w:rPr>
                <w:rFonts w:hint="eastAsia" w:ascii="宋体" w:hAnsi="宋体" w:eastAsia="宋体" w:cs="宋体"/>
                <w:kern w:val="0"/>
                <w:sz w:val="21"/>
                <w:szCs w:val="21"/>
              </w:rPr>
              <w:t>11、《环境运行情况报告》（包括相关沟通信息、客户抱怨情况）</w:t>
            </w:r>
          </w:p>
          <w:p>
            <w:pPr>
              <w:keepLines w:val="0"/>
              <w:pageBreakBefore w:val="0"/>
              <w:kinsoku/>
              <w:wordWrap/>
              <w:topLinePunct w:val="0"/>
              <w:autoSpaceDE w:val="0"/>
              <w:autoSpaceDN w:val="0"/>
              <w:bidi w:val="0"/>
              <w:adjustRightInd w:val="0"/>
              <w:spacing w:line="240" w:lineRule="auto"/>
              <w:ind w:left="210" w:leftChars="100" w:firstLine="210" w:firstLineChars="100"/>
              <w:rPr>
                <w:rFonts w:hint="eastAsia" w:ascii="宋体" w:hAnsi="宋体" w:eastAsia="宋体" w:cs="宋体"/>
                <w:kern w:val="0"/>
                <w:sz w:val="21"/>
                <w:szCs w:val="21"/>
              </w:rPr>
            </w:pPr>
            <w:r>
              <w:rPr>
                <w:rFonts w:hint="eastAsia" w:ascii="宋体" w:hAnsi="宋体" w:eastAsia="宋体" w:cs="宋体"/>
                <w:kern w:val="0"/>
                <w:sz w:val="21"/>
                <w:szCs w:val="21"/>
              </w:rPr>
              <w:t>12、《职业健康安全运行情况报告》（包括相关沟通信息、投诉及协商结果）</w:t>
            </w:r>
          </w:p>
          <w:p>
            <w:pPr>
              <w:pStyle w:val="5"/>
              <w:keepLines w:val="0"/>
              <w:pageBreakBefore w:val="0"/>
              <w:kinsoku/>
              <w:wordWrap/>
              <w:topLinePunct w:val="0"/>
              <w:bidi w:val="0"/>
              <w:spacing w:line="240" w:lineRule="auto"/>
              <w:ind w:left="0" w:firstLine="420" w:firstLineChars="200"/>
              <w:rPr>
                <w:rFonts w:hint="eastAsia" w:ascii="宋体" w:hAnsi="宋体" w:eastAsia="宋体" w:cs="宋体"/>
                <w:sz w:val="21"/>
                <w:szCs w:val="21"/>
              </w:rPr>
            </w:pPr>
            <w:r>
              <w:rPr>
                <w:rFonts w:hint="eastAsia" w:ascii="宋体" w:hAnsi="宋体" w:eastAsia="宋体" w:cs="宋体"/>
                <w:sz w:val="21"/>
                <w:szCs w:val="21"/>
              </w:rPr>
              <w:t>13、总经理根据以上汇报做总结性发言，提出自体系运行以来取得的成绩和存在的不足，并且提出改进措施。</w:t>
            </w:r>
          </w:p>
          <w:p>
            <w:pPr>
              <w:pStyle w:val="5"/>
              <w:keepLines w:val="0"/>
              <w:pageBreakBefore w:val="0"/>
              <w:kinsoku/>
              <w:wordWrap/>
              <w:topLinePunct w:val="0"/>
              <w:bidi w:val="0"/>
              <w:spacing w:line="240" w:lineRule="auto"/>
              <w:ind w:left="0"/>
              <w:rPr>
                <w:rFonts w:hint="eastAsia" w:ascii="宋体" w:hAnsi="宋体" w:eastAsia="宋体" w:cs="宋体"/>
                <w:sz w:val="21"/>
                <w:szCs w:val="21"/>
              </w:rPr>
            </w:pPr>
            <w:r>
              <w:rPr>
                <w:rFonts w:hint="eastAsia" w:ascii="宋体" w:hAnsi="宋体" w:eastAsia="宋体" w:cs="宋体"/>
                <w:sz w:val="21"/>
                <w:szCs w:val="21"/>
              </w:rPr>
              <w:t>编制：周建立 ，批准：郝妍。</w:t>
            </w:r>
          </w:p>
          <w:p>
            <w:pPr>
              <w:keepLines w:val="0"/>
              <w:pageBreakBefore w:val="0"/>
              <w:kinsoku/>
              <w:wordWrap/>
              <w:topLinePunct w:val="0"/>
              <w:bidi w:val="0"/>
              <w:spacing w:line="240" w:lineRule="auto"/>
              <w:rPr>
                <w:rFonts w:hint="eastAsia" w:ascii="宋体" w:hAnsi="宋体" w:eastAsia="宋体" w:cs="宋体"/>
                <w:sz w:val="21"/>
                <w:szCs w:val="21"/>
              </w:rPr>
            </w:pPr>
            <w:r>
              <w:rPr>
                <w:rFonts w:hint="eastAsia" w:ascii="宋体" w:hAnsi="宋体" w:eastAsia="宋体" w:cs="宋体"/>
                <w:sz w:val="21"/>
                <w:szCs w:val="21"/>
              </w:rPr>
              <w:t>《管理评审会议记录》</w:t>
            </w:r>
          </w:p>
          <w:p>
            <w:pPr>
              <w:keepLines w:val="0"/>
              <w:pageBreakBefore w:val="0"/>
              <w:kinsoku/>
              <w:wordWrap/>
              <w:topLinePunct w:val="0"/>
              <w:bidi w:val="0"/>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202</w:t>
            </w:r>
            <w:r>
              <w:rPr>
                <w:rFonts w:hint="eastAsia" w:ascii="宋体" w:hAnsi="宋体" w:eastAsia="宋体" w:cs="宋体"/>
                <w:sz w:val="21"/>
                <w:szCs w:val="21"/>
                <w:lang w:val="en-US" w:eastAsia="zh-CN"/>
              </w:rPr>
              <w:t>2</w:t>
            </w:r>
            <w:r>
              <w:rPr>
                <w:rFonts w:hint="eastAsia" w:ascii="宋体" w:hAnsi="宋体" w:eastAsia="宋体" w:cs="宋体"/>
                <w:sz w:val="21"/>
                <w:szCs w:val="21"/>
              </w:rPr>
              <w:t>年5月</w:t>
            </w:r>
            <w:r>
              <w:rPr>
                <w:rFonts w:hint="eastAsia" w:ascii="宋体" w:hAnsi="宋体" w:eastAsia="宋体" w:cs="宋体"/>
                <w:sz w:val="21"/>
                <w:szCs w:val="21"/>
                <w:lang w:val="en-US" w:eastAsia="zh-CN"/>
              </w:rPr>
              <w:t>20</w:t>
            </w:r>
            <w:r>
              <w:rPr>
                <w:rFonts w:hint="eastAsia" w:ascii="宋体" w:hAnsi="宋体" w:eastAsia="宋体" w:cs="宋体"/>
                <w:sz w:val="21"/>
                <w:szCs w:val="21"/>
              </w:rPr>
              <w:t xml:space="preserve">日在公司会议室，由郝妍主持人， 参加人员：管代  各部门主管。  </w:t>
            </w:r>
          </w:p>
          <w:p>
            <w:pPr>
              <w:keepLines w:val="0"/>
              <w:pageBreakBefore w:val="0"/>
              <w:kinsoku/>
              <w:wordWrap/>
              <w:topLinePunct w:val="0"/>
              <w:bidi w:val="0"/>
              <w:spacing w:line="240" w:lineRule="auto"/>
              <w:rPr>
                <w:rFonts w:hint="eastAsia" w:ascii="宋体" w:hAnsi="宋体" w:eastAsia="宋体" w:cs="宋体"/>
                <w:sz w:val="21"/>
                <w:szCs w:val="21"/>
              </w:rPr>
            </w:pPr>
            <w:r>
              <w:rPr>
                <w:rFonts w:hint="eastAsia" w:ascii="宋体" w:hAnsi="宋体" w:eastAsia="宋体" w:cs="宋体"/>
                <w:sz w:val="21"/>
                <w:szCs w:val="21"/>
              </w:rPr>
              <w:t>管理评审内容包括：</w:t>
            </w:r>
          </w:p>
          <w:p>
            <w:pPr>
              <w:keepLines w:val="0"/>
              <w:pageBreakBefore w:val="0"/>
              <w:kinsoku/>
              <w:wordWrap/>
              <w:topLinePunct w:val="0"/>
              <w:bidi w:val="0"/>
              <w:spacing w:line="240" w:lineRule="auto"/>
              <w:rPr>
                <w:rFonts w:hint="eastAsia" w:ascii="宋体" w:hAnsi="宋体" w:eastAsia="宋体" w:cs="宋体"/>
                <w:sz w:val="21"/>
                <w:szCs w:val="21"/>
              </w:rPr>
            </w:pPr>
            <w:r>
              <w:rPr>
                <w:rFonts w:hint="eastAsia" w:ascii="宋体" w:hAnsi="宋体" w:eastAsia="宋体" w:cs="宋体"/>
                <w:sz w:val="21"/>
                <w:szCs w:val="21"/>
              </w:rPr>
              <w:t>1、内部、外部审核情况；</w:t>
            </w:r>
          </w:p>
          <w:p>
            <w:pPr>
              <w:keepLines w:val="0"/>
              <w:pageBreakBefore w:val="0"/>
              <w:kinsoku/>
              <w:wordWrap/>
              <w:topLinePunct w:val="0"/>
              <w:bidi w:val="0"/>
              <w:spacing w:line="240" w:lineRule="auto"/>
              <w:rPr>
                <w:rFonts w:hint="eastAsia" w:ascii="宋体" w:hAnsi="宋体" w:eastAsia="宋体" w:cs="宋体"/>
                <w:sz w:val="21"/>
                <w:szCs w:val="21"/>
              </w:rPr>
            </w:pPr>
            <w:r>
              <w:rPr>
                <w:rFonts w:hint="eastAsia" w:ascii="宋体" w:hAnsi="宋体" w:eastAsia="宋体" w:cs="宋体"/>
                <w:sz w:val="21"/>
                <w:szCs w:val="21"/>
              </w:rPr>
              <w:t>2、上次管理评审的追踪；</w:t>
            </w:r>
          </w:p>
          <w:p>
            <w:pPr>
              <w:keepLines w:val="0"/>
              <w:pageBreakBefore w:val="0"/>
              <w:kinsoku/>
              <w:wordWrap/>
              <w:topLinePunct w:val="0"/>
              <w:bidi w:val="0"/>
              <w:spacing w:line="240" w:lineRule="auto"/>
              <w:rPr>
                <w:rFonts w:hint="eastAsia" w:ascii="宋体" w:hAnsi="宋体" w:eastAsia="宋体" w:cs="宋体"/>
                <w:sz w:val="21"/>
                <w:szCs w:val="21"/>
              </w:rPr>
            </w:pPr>
            <w:r>
              <w:rPr>
                <w:rFonts w:hint="eastAsia" w:ascii="宋体" w:hAnsi="宋体" w:eastAsia="宋体" w:cs="宋体"/>
                <w:sz w:val="21"/>
                <w:szCs w:val="21"/>
              </w:rPr>
              <w:t>3、方针适宜性及目标达成情况讨论；</w:t>
            </w:r>
          </w:p>
          <w:p>
            <w:pPr>
              <w:keepLines w:val="0"/>
              <w:pageBreakBefore w:val="0"/>
              <w:kinsoku/>
              <w:wordWrap/>
              <w:topLinePunct w:val="0"/>
              <w:bidi w:val="0"/>
              <w:spacing w:line="240" w:lineRule="auto"/>
              <w:rPr>
                <w:rFonts w:hint="eastAsia" w:ascii="宋体" w:hAnsi="宋体" w:eastAsia="宋体" w:cs="宋体"/>
                <w:sz w:val="21"/>
                <w:szCs w:val="21"/>
              </w:rPr>
            </w:pPr>
            <w:r>
              <w:rPr>
                <w:rFonts w:hint="eastAsia" w:ascii="宋体" w:hAnsi="宋体" w:eastAsia="宋体" w:cs="宋体"/>
                <w:sz w:val="21"/>
                <w:szCs w:val="21"/>
              </w:rPr>
              <w:t>4、顾客投诉的处理、客户满意度调查情况分析；</w:t>
            </w:r>
          </w:p>
          <w:p>
            <w:pPr>
              <w:keepLines w:val="0"/>
              <w:pageBreakBefore w:val="0"/>
              <w:kinsoku/>
              <w:wordWrap/>
              <w:topLinePunct w:val="0"/>
              <w:bidi w:val="0"/>
              <w:spacing w:line="240" w:lineRule="auto"/>
              <w:rPr>
                <w:rFonts w:hint="eastAsia" w:ascii="宋体" w:hAnsi="宋体" w:eastAsia="宋体" w:cs="宋体"/>
                <w:sz w:val="21"/>
                <w:szCs w:val="21"/>
              </w:rPr>
            </w:pPr>
            <w:r>
              <w:rPr>
                <w:rFonts w:hint="eastAsia" w:ascii="宋体" w:hAnsi="宋体" w:eastAsia="宋体" w:cs="宋体"/>
                <w:sz w:val="21"/>
                <w:szCs w:val="21"/>
              </w:rPr>
              <w:t>5、服务质量状况及过程业绩的讨论；</w:t>
            </w:r>
          </w:p>
          <w:p>
            <w:pPr>
              <w:keepLines w:val="0"/>
              <w:pageBreakBefore w:val="0"/>
              <w:kinsoku/>
              <w:wordWrap/>
              <w:topLinePunct w:val="0"/>
              <w:bidi w:val="0"/>
              <w:spacing w:line="240" w:lineRule="auto"/>
              <w:rPr>
                <w:rFonts w:hint="eastAsia" w:ascii="宋体" w:hAnsi="宋体" w:eastAsia="宋体" w:cs="宋体"/>
                <w:sz w:val="21"/>
                <w:szCs w:val="21"/>
              </w:rPr>
            </w:pPr>
            <w:r>
              <w:rPr>
                <w:rFonts w:hint="eastAsia" w:ascii="宋体" w:hAnsi="宋体" w:eastAsia="宋体" w:cs="宋体"/>
                <w:sz w:val="21"/>
                <w:szCs w:val="21"/>
              </w:rPr>
              <w:t>6、预防及纠正措施实施情况及其效果性；</w:t>
            </w:r>
          </w:p>
          <w:p>
            <w:pPr>
              <w:keepLines w:val="0"/>
              <w:pageBreakBefore w:val="0"/>
              <w:kinsoku/>
              <w:wordWrap/>
              <w:topLinePunct w:val="0"/>
              <w:bidi w:val="0"/>
              <w:spacing w:line="240" w:lineRule="auto"/>
              <w:rPr>
                <w:rFonts w:hint="eastAsia" w:ascii="宋体" w:hAnsi="宋体" w:eastAsia="宋体" w:cs="宋体"/>
                <w:sz w:val="21"/>
                <w:szCs w:val="21"/>
              </w:rPr>
            </w:pPr>
            <w:r>
              <w:rPr>
                <w:rFonts w:hint="eastAsia" w:ascii="宋体" w:hAnsi="宋体" w:eastAsia="宋体" w:cs="宋体"/>
                <w:sz w:val="21"/>
                <w:szCs w:val="21"/>
              </w:rPr>
              <w:t>7、资源的充分性。</w:t>
            </w:r>
          </w:p>
          <w:p>
            <w:pPr>
              <w:keepLines w:val="0"/>
              <w:pageBreakBefore w:val="0"/>
              <w:kinsoku/>
              <w:wordWrap/>
              <w:topLinePunct w:val="0"/>
              <w:bidi w:val="0"/>
              <w:spacing w:line="240" w:lineRule="auto"/>
              <w:rPr>
                <w:rFonts w:hint="eastAsia" w:ascii="宋体" w:hAnsi="宋体" w:eastAsia="宋体" w:cs="宋体"/>
                <w:sz w:val="21"/>
                <w:szCs w:val="21"/>
              </w:rPr>
            </w:pPr>
            <w:r>
              <w:rPr>
                <w:rFonts w:hint="eastAsia" w:ascii="宋体" w:hAnsi="宋体" w:eastAsia="宋体" w:cs="宋体"/>
                <w:sz w:val="21"/>
                <w:szCs w:val="21"/>
              </w:rPr>
              <w:t>8、风险和机遇措施的有效性。</w:t>
            </w:r>
          </w:p>
          <w:p>
            <w:pPr>
              <w:keepLines w:val="0"/>
              <w:pageBreakBefore w:val="0"/>
              <w:kinsoku/>
              <w:wordWrap/>
              <w:topLinePunct w:val="0"/>
              <w:bidi w:val="0"/>
              <w:spacing w:line="240" w:lineRule="auto"/>
              <w:rPr>
                <w:rFonts w:hint="eastAsia" w:ascii="宋体" w:hAnsi="宋体" w:eastAsia="宋体" w:cs="宋体"/>
                <w:sz w:val="21"/>
                <w:szCs w:val="21"/>
              </w:rPr>
            </w:pPr>
            <w:r>
              <w:rPr>
                <w:rFonts w:hint="eastAsia" w:ascii="宋体" w:hAnsi="宋体" w:eastAsia="宋体" w:cs="宋体"/>
                <w:sz w:val="21"/>
                <w:szCs w:val="21"/>
              </w:rPr>
              <w:t>9、企业内外部环境变化影响。</w:t>
            </w:r>
          </w:p>
          <w:p>
            <w:pPr>
              <w:keepLines w:val="0"/>
              <w:pageBreakBefore w:val="0"/>
              <w:kinsoku/>
              <w:wordWrap/>
              <w:topLinePunct w:val="0"/>
              <w:bidi w:val="0"/>
              <w:spacing w:line="240" w:lineRule="auto"/>
              <w:rPr>
                <w:rFonts w:hint="eastAsia" w:ascii="宋体" w:hAnsi="宋体" w:eastAsia="宋体" w:cs="宋体"/>
                <w:sz w:val="21"/>
                <w:szCs w:val="21"/>
              </w:rPr>
            </w:pPr>
            <w:r>
              <w:rPr>
                <w:rFonts w:hint="eastAsia" w:ascii="宋体" w:hAnsi="宋体" w:eastAsia="宋体" w:cs="宋体"/>
                <w:sz w:val="21"/>
                <w:szCs w:val="21"/>
              </w:rPr>
              <w:t>10、环境运行情况报告（包括相关沟通信息、客户抱怨情况）</w:t>
            </w:r>
          </w:p>
          <w:p>
            <w:pPr>
              <w:keepLines w:val="0"/>
              <w:pageBreakBefore w:val="0"/>
              <w:kinsoku/>
              <w:wordWrap/>
              <w:topLinePunct w:val="0"/>
              <w:bidi w:val="0"/>
              <w:spacing w:line="240" w:lineRule="auto"/>
              <w:rPr>
                <w:rFonts w:hint="eastAsia" w:ascii="宋体" w:hAnsi="宋体" w:eastAsia="宋体" w:cs="宋体"/>
                <w:sz w:val="21"/>
                <w:szCs w:val="21"/>
              </w:rPr>
            </w:pPr>
            <w:r>
              <w:rPr>
                <w:rFonts w:hint="eastAsia" w:ascii="宋体" w:hAnsi="宋体" w:eastAsia="宋体" w:cs="宋体"/>
                <w:sz w:val="21"/>
                <w:szCs w:val="21"/>
              </w:rPr>
              <w:t>11、职业健康安全运行情况报告（包括相关沟通信息、投诉及协商结果）</w:t>
            </w:r>
          </w:p>
          <w:p>
            <w:pPr>
              <w:keepLines w:val="0"/>
              <w:pageBreakBefore w:val="0"/>
              <w:kinsoku/>
              <w:wordWrap/>
              <w:topLinePunct w:val="0"/>
              <w:bidi w:val="0"/>
              <w:spacing w:line="240" w:lineRule="auto"/>
              <w:rPr>
                <w:rFonts w:hint="eastAsia" w:ascii="宋体" w:hAnsi="宋体" w:eastAsia="宋体" w:cs="宋体"/>
                <w:sz w:val="21"/>
                <w:szCs w:val="21"/>
              </w:rPr>
            </w:pPr>
            <w:r>
              <w:rPr>
                <w:rFonts w:hint="eastAsia" w:ascii="宋体" w:hAnsi="宋体" w:eastAsia="宋体" w:cs="宋体"/>
                <w:sz w:val="21"/>
                <w:szCs w:val="21"/>
              </w:rPr>
              <w:t>12、体系的变更及任何改进的建议等。</w:t>
            </w:r>
          </w:p>
          <w:p>
            <w:pPr>
              <w:keepLines w:val="0"/>
              <w:pageBreakBefore w:val="0"/>
              <w:kinsoku/>
              <w:wordWrap/>
              <w:topLinePunct w:val="0"/>
              <w:bidi w:val="0"/>
              <w:spacing w:line="240" w:lineRule="auto"/>
              <w:rPr>
                <w:rFonts w:hint="eastAsia" w:ascii="宋体" w:hAnsi="宋体" w:eastAsia="宋体" w:cs="宋体"/>
                <w:sz w:val="21"/>
                <w:szCs w:val="21"/>
              </w:rPr>
            </w:pPr>
            <w:r>
              <w:rPr>
                <w:rFonts w:hint="eastAsia" w:ascii="宋体" w:hAnsi="宋体" w:eastAsia="宋体" w:cs="宋体"/>
                <w:sz w:val="21"/>
                <w:szCs w:val="21"/>
              </w:rPr>
              <w:t>管理评审结论：公司的管理体系适宜充分有效。</w:t>
            </w:r>
          </w:p>
          <w:p>
            <w:pPr>
              <w:keepLines w:val="0"/>
              <w:pageBreakBefore w:val="0"/>
              <w:kinsoku/>
              <w:wordWrap/>
              <w:topLinePunct w:val="0"/>
              <w:bidi w:val="0"/>
              <w:spacing w:line="240" w:lineRule="auto"/>
              <w:rPr>
                <w:rFonts w:hint="eastAsia" w:ascii="宋体" w:hAnsi="宋体" w:eastAsia="宋体" w:cs="宋体"/>
                <w:sz w:val="21"/>
                <w:szCs w:val="21"/>
              </w:rPr>
            </w:pPr>
            <w:r>
              <w:rPr>
                <w:rFonts w:hint="eastAsia" w:ascii="宋体" w:hAnsi="宋体" w:eastAsia="宋体" w:cs="宋体"/>
                <w:sz w:val="21"/>
                <w:szCs w:val="21"/>
              </w:rPr>
              <w:t>改进建议:</w:t>
            </w:r>
            <w:r>
              <w:rPr>
                <w:rFonts w:hint="eastAsia" w:ascii="宋体" w:hAnsi="宋体" w:eastAsia="宋体" w:cs="宋体"/>
                <w:sz w:val="21"/>
                <w:szCs w:val="21"/>
                <w:lang w:val="en-US" w:eastAsia="zh-CN"/>
              </w:rPr>
              <w:t>本次暂无</w:t>
            </w:r>
            <w:r>
              <w:rPr>
                <w:rFonts w:hint="eastAsia" w:ascii="宋体" w:hAnsi="宋体" w:eastAsia="宋体" w:cs="宋体"/>
                <w:sz w:val="21"/>
                <w:szCs w:val="21"/>
              </w:rPr>
              <w:t>。</w:t>
            </w:r>
          </w:p>
        </w:tc>
        <w:tc>
          <w:tcPr>
            <w:tcW w:w="646" w:type="dxa"/>
            <w:vAlign w:val="top"/>
          </w:tcPr>
          <w:p>
            <w:pPr>
              <w:keepLines w:val="0"/>
              <w:pageBreakBefore w:val="0"/>
              <w:kinsoku/>
              <w:wordWrap/>
              <w:topLinePunct w:val="0"/>
              <w:bidi w:val="0"/>
              <w:spacing w:line="24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92" w:type="dxa"/>
            <w:vAlign w:val="center"/>
          </w:tcPr>
          <w:p>
            <w:pPr>
              <w:keepLines w:val="0"/>
              <w:pageBreakBefore w:val="0"/>
              <w:kinsoku/>
              <w:wordWrap/>
              <w:topLinePunct w:val="0"/>
              <w:bidi w:val="0"/>
              <w:spacing w:line="240" w:lineRule="auto"/>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改进</w:t>
            </w:r>
          </w:p>
          <w:p>
            <w:pPr>
              <w:keepLines w:val="0"/>
              <w:pageBreakBefore w:val="0"/>
              <w:kinsoku/>
              <w:wordWrap/>
              <w:topLinePunct w:val="0"/>
              <w:bidi w:val="0"/>
              <w:spacing w:line="240" w:lineRule="auto"/>
              <w:rPr>
                <w:rFonts w:hint="eastAsia" w:ascii="宋体" w:hAnsi="宋体" w:eastAsia="宋体" w:cs="宋体"/>
                <w:color w:val="000000" w:themeColor="text1"/>
                <w:sz w:val="21"/>
                <w:szCs w:val="21"/>
              </w:rPr>
            </w:pPr>
          </w:p>
        </w:tc>
        <w:tc>
          <w:tcPr>
            <w:tcW w:w="1228" w:type="dxa"/>
            <w:vAlign w:val="center"/>
          </w:tcPr>
          <w:p>
            <w:pPr>
              <w:keepLines w:val="0"/>
              <w:pageBreakBefore w:val="0"/>
              <w:kinsoku/>
              <w:wordWrap/>
              <w:topLinePunct w:val="0"/>
              <w:bidi w:val="0"/>
              <w:spacing w:line="240" w:lineRule="auto"/>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Q</w:t>
            </w:r>
            <w:r>
              <w:rPr>
                <w:rFonts w:hint="eastAsia" w:ascii="宋体" w:hAnsi="宋体" w:eastAsia="宋体" w:cs="宋体"/>
                <w:color w:val="000000" w:themeColor="text1"/>
                <w:sz w:val="21"/>
                <w:szCs w:val="21"/>
                <w:lang w:val="en-US" w:eastAsia="zh-CN"/>
              </w:rPr>
              <w:t>EO</w:t>
            </w:r>
            <w:r>
              <w:rPr>
                <w:rFonts w:hint="eastAsia" w:ascii="宋体" w:hAnsi="宋体" w:eastAsia="宋体" w:cs="宋体"/>
                <w:color w:val="000000" w:themeColor="text1"/>
                <w:sz w:val="21"/>
                <w:szCs w:val="21"/>
              </w:rPr>
              <w:t>：</w:t>
            </w:r>
          </w:p>
          <w:p>
            <w:pPr>
              <w:keepLines w:val="0"/>
              <w:pageBreakBefore w:val="0"/>
              <w:kinsoku/>
              <w:wordWrap/>
              <w:topLinePunct w:val="0"/>
              <w:bidi w:val="0"/>
              <w:spacing w:line="240" w:lineRule="auto"/>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10.1、10.3</w:t>
            </w:r>
          </w:p>
          <w:p>
            <w:pPr>
              <w:keepLines w:val="0"/>
              <w:pageBreakBefore w:val="0"/>
              <w:kinsoku/>
              <w:wordWrap/>
              <w:topLinePunct w:val="0"/>
              <w:bidi w:val="0"/>
              <w:spacing w:line="240" w:lineRule="auto"/>
              <w:rPr>
                <w:rFonts w:hint="eastAsia" w:ascii="宋体" w:hAnsi="宋体" w:eastAsia="宋体" w:cs="宋体"/>
                <w:color w:val="000000" w:themeColor="text1"/>
                <w:sz w:val="21"/>
                <w:szCs w:val="21"/>
              </w:rPr>
            </w:pPr>
          </w:p>
        </w:tc>
        <w:tc>
          <w:tcPr>
            <w:tcW w:w="10943" w:type="dxa"/>
            <w:vAlign w:val="center"/>
          </w:tcPr>
          <w:p>
            <w:pPr>
              <w:keepLines w:val="0"/>
              <w:pageBreakBefore w:val="0"/>
              <w:kinsoku/>
              <w:wordWrap/>
              <w:topLinePunct w:val="0"/>
              <w:bidi w:val="0"/>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管理者代表根据总经理意图组织持续改进过程的策划工作，由行政部实施持续改进过程的管理。公司体系运行的持续改进，是通过方针、目标、管理方案的制定与实施，通过内外部的审核结果，管理评审的开展，分析和评价结果、纠正预防措施的实施，促进管理体系的持续改进。并通过对各项工作的考核，不断提出改进要求，全员的质量、环保、职业健康意识、安全意识有较大的提高，持续改进了管理体系的有效性。</w:t>
            </w:r>
          </w:p>
          <w:p>
            <w:pPr>
              <w:keepLines w:val="0"/>
              <w:pageBreakBefore w:val="0"/>
              <w:kinsoku/>
              <w:wordWrap/>
              <w:topLinePunct w:val="0"/>
              <w:bidi w:val="0"/>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自体系运行以来，全员的质量意识、服务意识、环保意识有较大的提高，市场经营规模有了较大发展，持续改进了管理体系的有效性。</w:t>
            </w:r>
          </w:p>
        </w:tc>
        <w:tc>
          <w:tcPr>
            <w:tcW w:w="646" w:type="dxa"/>
            <w:vAlign w:val="top"/>
          </w:tcPr>
          <w:p>
            <w:pPr>
              <w:keepLines w:val="0"/>
              <w:pageBreakBefore w:val="0"/>
              <w:kinsoku/>
              <w:wordWrap/>
              <w:topLinePunct w:val="0"/>
              <w:bidi w:val="0"/>
              <w:spacing w:line="24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92" w:type="dxa"/>
            <w:vAlign w:val="center"/>
          </w:tcPr>
          <w:p>
            <w:pPr>
              <w:keepLines w:val="0"/>
              <w:pageBreakBefore w:val="0"/>
              <w:kinsoku/>
              <w:wordWrap/>
              <w:topLinePunct w:val="0"/>
              <w:bidi w:val="0"/>
              <w:spacing w:line="240" w:lineRule="auto"/>
              <w:rPr>
                <w:rFonts w:hint="eastAsia" w:ascii="宋体" w:hAnsi="宋体" w:eastAsia="宋体" w:cs="宋体"/>
                <w:color w:val="000000" w:themeColor="text1"/>
                <w:sz w:val="21"/>
                <w:szCs w:val="21"/>
              </w:rPr>
            </w:pPr>
            <w:r>
              <w:rPr>
                <w:rFonts w:hint="eastAsia" w:ascii="宋体" w:hAnsi="宋体" w:eastAsia="宋体" w:cs="宋体"/>
                <w:color w:val="auto"/>
                <w:sz w:val="21"/>
                <w:szCs w:val="21"/>
                <w:highlight w:val="none"/>
              </w:rPr>
              <w:t>范围的确认，资质的确认，法律法规执行情况，投诉或事故/政府主管部门监督抽查情况</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上次审核不符合的验证</w:t>
            </w:r>
            <w:r>
              <w:rPr>
                <w:rFonts w:hint="eastAsia" w:ascii="宋体" w:hAnsi="宋体" w:eastAsia="宋体" w:cs="宋体"/>
                <w:color w:val="auto"/>
                <w:sz w:val="21"/>
                <w:szCs w:val="21"/>
                <w:highlight w:val="none"/>
              </w:rPr>
              <w:t>。</w:t>
            </w:r>
          </w:p>
        </w:tc>
        <w:tc>
          <w:tcPr>
            <w:tcW w:w="1228" w:type="dxa"/>
            <w:vAlign w:val="center"/>
          </w:tcPr>
          <w:p>
            <w:pPr>
              <w:keepLines w:val="0"/>
              <w:pageBreakBefore w:val="0"/>
              <w:kinsoku/>
              <w:wordWrap/>
              <w:topLinePunct w:val="0"/>
              <w:bidi w:val="0"/>
              <w:spacing w:line="240" w:lineRule="auto"/>
              <w:rPr>
                <w:rFonts w:hint="eastAsia" w:ascii="宋体" w:hAnsi="宋体" w:eastAsia="宋体" w:cs="宋体"/>
                <w:color w:val="000000" w:themeColor="text1"/>
                <w:sz w:val="21"/>
                <w:szCs w:val="21"/>
              </w:rPr>
            </w:pPr>
          </w:p>
        </w:tc>
        <w:tc>
          <w:tcPr>
            <w:tcW w:w="10943" w:type="dxa"/>
            <w:vAlign w:val="top"/>
          </w:tcPr>
          <w:p>
            <w:pPr>
              <w:keepNext w:val="0"/>
              <w:keepLines w:val="0"/>
              <w:pageBreakBefore w:val="0"/>
              <w:widowControl/>
              <w:kinsoku/>
              <w:wordWrap/>
              <w:overflowPunct/>
              <w:topLinePunct w:val="0"/>
              <w:bidi w:val="0"/>
              <w:spacing w:line="240" w:lineRule="auto"/>
              <w:ind w:firstLine="420" w:firstLineChars="200"/>
              <w:jc w:val="left"/>
              <w:rPr>
                <w:rFonts w:hint="eastAsia" w:ascii="宋体" w:hAnsi="宋体" w:eastAsia="宋体" w:cs="宋体"/>
                <w:color w:val="000000"/>
                <w:kern w:val="0"/>
                <w:sz w:val="21"/>
                <w:szCs w:val="21"/>
                <w:lang w:val="en-US" w:eastAsia="zh-CN"/>
              </w:rPr>
            </w:pPr>
            <w:r>
              <w:rPr>
                <w:rFonts w:hint="eastAsia" w:ascii="宋体" w:hAnsi="宋体" w:eastAsia="宋体" w:cs="宋体"/>
                <w:color w:val="auto"/>
                <w:sz w:val="21"/>
                <w:szCs w:val="21"/>
              </w:rPr>
              <w:t>现场确认，公司</w:t>
            </w:r>
            <w:r>
              <w:rPr>
                <w:rFonts w:hint="eastAsia" w:ascii="宋体" w:hAnsi="宋体" w:eastAsia="宋体" w:cs="宋体"/>
                <w:color w:val="auto"/>
                <w:sz w:val="21"/>
                <w:szCs w:val="21"/>
                <w:lang w:val="en-US" w:eastAsia="zh-CN"/>
              </w:rPr>
              <w:t>质量、</w:t>
            </w:r>
            <w:r>
              <w:rPr>
                <w:rFonts w:hint="eastAsia" w:ascii="宋体" w:hAnsi="宋体" w:eastAsia="宋体" w:cs="宋体"/>
                <w:color w:val="auto"/>
                <w:sz w:val="21"/>
                <w:szCs w:val="21"/>
              </w:rPr>
              <w:t>环境、职业健康安全管理体系范围</w:t>
            </w:r>
            <w:r>
              <w:rPr>
                <w:rFonts w:hint="eastAsia" w:ascii="宋体" w:hAnsi="宋体" w:eastAsia="宋体" w:cs="宋体"/>
                <w:color w:val="000000"/>
                <w:kern w:val="0"/>
                <w:sz w:val="21"/>
                <w:szCs w:val="21"/>
                <w:lang w:val="en-US" w:eastAsia="zh-CN"/>
              </w:rPr>
              <w:t>为：</w:t>
            </w:r>
          </w:p>
          <w:p>
            <w:pPr>
              <w:keepLines w:val="0"/>
              <w:pageBreakBefore w:val="0"/>
              <w:kinsoku/>
              <w:wordWrap/>
              <w:topLinePunct w:val="0"/>
              <w:bidi w:val="0"/>
              <w:spacing w:line="240" w:lineRule="auto"/>
              <w:rPr>
                <w:rFonts w:hint="eastAsia" w:ascii="宋体" w:hAnsi="宋体" w:eastAsia="宋体" w:cs="宋体"/>
                <w:sz w:val="21"/>
                <w:szCs w:val="21"/>
              </w:rPr>
            </w:pPr>
            <w:r>
              <w:rPr>
                <w:rFonts w:hint="eastAsia" w:ascii="宋体" w:hAnsi="宋体" w:eastAsia="宋体" w:cs="宋体"/>
                <w:sz w:val="21"/>
                <w:szCs w:val="21"/>
              </w:rPr>
              <w:t>Q：教学仪器、实验室设备、音体美器材、课桌椅、办公家具、办公用品、窗帘、环保设备、多媒体设备、厨房设备、科技馆设备、电子琴、秒表、舞台设备的销售</w:t>
            </w:r>
          </w:p>
          <w:p>
            <w:pPr>
              <w:keepLines w:val="0"/>
              <w:pageBreakBefore w:val="0"/>
              <w:kinsoku/>
              <w:wordWrap/>
              <w:topLinePunct w:val="0"/>
              <w:bidi w:val="0"/>
              <w:spacing w:line="240" w:lineRule="auto"/>
              <w:rPr>
                <w:rFonts w:hint="eastAsia" w:ascii="宋体" w:hAnsi="宋体" w:eastAsia="宋体" w:cs="宋体"/>
                <w:sz w:val="21"/>
                <w:szCs w:val="21"/>
              </w:rPr>
            </w:pPr>
            <w:r>
              <w:rPr>
                <w:rFonts w:hint="eastAsia" w:ascii="宋体" w:hAnsi="宋体" w:eastAsia="宋体" w:cs="宋体"/>
                <w:sz w:val="21"/>
                <w:szCs w:val="21"/>
              </w:rPr>
              <w:t>E：教学仪器、实验室设备、音体美器材、课桌椅、办公家具、办公用品、窗帘、环保设备、多媒体设备、厨房设备、科技馆设备、电子琴、秒表、舞台设备的销售所涉及场所的相关环境管理活动</w:t>
            </w:r>
          </w:p>
          <w:p>
            <w:pPr>
              <w:pStyle w:val="16"/>
              <w:keepNext w:val="0"/>
              <w:keepLines w:val="0"/>
              <w:pageBreakBefore w:val="0"/>
              <w:kinsoku/>
              <w:wordWrap/>
              <w:overflowPunct/>
              <w:topLinePunct w:val="0"/>
              <w:bidi w:val="0"/>
              <w:spacing w:before="0" w:after="0" w:line="240" w:lineRule="auto"/>
              <w:ind w:firstLine="460" w:firstLineChars="200"/>
              <w:rPr>
                <w:rFonts w:hint="eastAsia" w:ascii="宋体" w:hAnsi="宋体" w:eastAsia="宋体" w:cs="宋体"/>
                <w:color w:val="auto"/>
                <w:sz w:val="21"/>
                <w:szCs w:val="21"/>
                <w:lang w:val="en-US" w:eastAsia="zh-CN"/>
              </w:rPr>
            </w:pPr>
            <w:r>
              <w:rPr>
                <w:rFonts w:hint="eastAsia" w:ascii="宋体" w:hAnsi="宋体" w:eastAsia="宋体" w:cs="宋体"/>
                <w:sz w:val="21"/>
                <w:szCs w:val="21"/>
              </w:rPr>
              <w:t>O：教学仪器、实验室设备、音体美器材、课桌椅、办公家具、办公用品、窗帘、环保设备、多媒体设备、厨房设备、科技馆设备、电子琴、秒表、舞台设备的销售所涉及场所的相关职业健康安全管理活动</w:t>
            </w:r>
            <w:r>
              <w:rPr>
                <w:rFonts w:hint="eastAsia" w:ascii="宋体" w:hAnsi="宋体" w:eastAsia="宋体" w:cs="宋体"/>
                <w:color w:val="auto"/>
                <w:sz w:val="21"/>
                <w:szCs w:val="21"/>
                <w:lang w:val="en-US" w:eastAsia="zh-CN"/>
              </w:rPr>
              <w:t>。</w:t>
            </w:r>
          </w:p>
          <w:p>
            <w:pPr>
              <w:keepNext w:val="0"/>
              <w:keepLines w:val="0"/>
              <w:pageBreakBefore w:val="0"/>
              <w:kinsoku/>
              <w:wordWrap/>
              <w:overflowPunct/>
              <w:topLinePunct w:val="0"/>
              <w:bidi w:val="0"/>
              <w:spacing w:line="24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提供营业执照（三证合一），检查有效，经营范围包含认证范围</w:t>
            </w:r>
            <w:r>
              <w:rPr>
                <w:rFonts w:hint="eastAsia" w:ascii="宋体" w:hAnsi="宋体" w:eastAsia="宋体" w:cs="宋体"/>
                <w:color w:val="auto"/>
                <w:sz w:val="21"/>
                <w:szCs w:val="21"/>
                <w:lang w:val="en-US" w:eastAsia="zh-CN"/>
              </w:rPr>
              <w:t>且</w:t>
            </w:r>
            <w:r>
              <w:rPr>
                <w:rFonts w:hint="eastAsia" w:ascii="宋体" w:hAnsi="宋体" w:eastAsia="宋体" w:cs="宋体"/>
                <w:color w:val="auto"/>
                <w:sz w:val="21"/>
                <w:szCs w:val="21"/>
              </w:rPr>
              <w:t>在有效期范围内。</w:t>
            </w:r>
          </w:p>
          <w:p>
            <w:pPr>
              <w:keepNext w:val="0"/>
              <w:keepLines w:val="0"/>
              <w:pageBreakBefore w:val="0"/>
              <w:kinsoku/>
              <w:wordWrap/>
              <w:overflowPunct/>
              <w:topLinePunct w:val="0"/>
              <w:bidi w:val="0"/>
              <w:spacing w:line="24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经验证，</w:t>
            </w:r>
            <w:r>
              <w:rPr>
                <w:rFonts w:hint="eastAsia" w:ascii="宋体" w:hAnsi="宋体" w:eastAsia="宋体" w:cs="宋体"/>
                <w:color w:val="auto"/>
                <w:sz w:val="21"/>
                <w:szCs w:val="21"/>
                <w:lang w:val="en-US" w:eastAsia="zh-CN"/>
              </w:rPr>
              <w:t>自体系建立以来，公司质量、</w:t>
            </w:r>
            <w:r>
              <w:rPr>
                <w:rFonts w:hint="eastAsia" w:ascii="宋体" w:hAnsi="宋体" w:eastAsia="宋体" w:cs="宋体"/>
                <w:color w:val="auto"/>
                <w:sz w:val="21"/>
                <w:szCs w:val="21"/>
              </w:rPr>
              <w:t>环境</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职业健康安全管理体系运行正常，可判定公司</w:t>
            </w:r>
            <w:r>
              <w:rPr>
                <w:rFonts w:hint="eastAsia" w:ascii="宋体" w:hAnsi="宋体" w:eastAsia="宋体" w:cs="宋体"/>
                <w:color w:val="auto"/>
                <w:sz w:val="21"/>
                <w:szCs w:val="21"/>
                <w:lang w:val="en-US" w:eastAsia="zh-CN"/>
              </w:rPr>
              <w:t>质量、</w:t>
            </w:r>
            <w:r>
              <w:rPr>
                <w:rFonts w:hint="eastAsia" w:ascii="宋体" w:hAnsi="宋体" w:eastAsia="宋体" w:cs="宋体"/>
                <w:color w:val="auto"/>
                <w:sz w:val="21"/>
                <w:szCs w:val="21"/>
              </w:rPr>
              <w:t>环境和职业健康安全管理体系的建立符合标准要求、实施有效。</w:t>
            </w:r>
          </w:p>
          <w:p>
            <w:pPr>
              <w:keepNext w:val="0"/>
              <w:keepLines w:val="0"/>
              <w:pageBreakBefore w:val="0"/>
              <w:kinsoku/>
              <w:wordWrap/>
              <w:overflowPunct/>
              <w:topLinePunct w:val="0"/>
              <w:bidi w:val="0"/>
              <w:spacing w:line="24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公司严格执行国标及行业要求和法律、法规要求。</w:t>
            </w:r>
          </w:p>
          <w:p>
            <w:pPr>
              <w:keepNext w:val="0"/>
              <w:keepLines w:val="0"/>
              <w:pageBreakBefore w:val="0"/>
              <w:kinsoku/>
              <w:wordWrap/>
              <w:overflowPunct/>
              <w:topLinePunct w:val="0"/>
              <w:bidi w:val="0"/>
              <w:spacing w:line="24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无重大的</w:t>
            </w:r>
            <w:r>
              <w:rPr>
                <w:rFonts w:hint="eastAsia" w:ascii="宋体" w:hAnsi="宋体" w:eastAsia="宋体" w:cs="宋体"/>
                <w:color w:val="auto"/>
                <w:sz w:val="21"/>
                <w:szCs w:val="21"/>
                <w:lang w:val="en-US" w:eastAsia="zh-CN"/>
              </w:rPr>
              <w:t>质量、</w:t>
            </w:r>
            <w:r>
              <w:rPr>
                <w:rFonts w:hint="eastAsia" w:ascii="宋体" w:hAnsi="宋体" w:eastAsia="宋体" w:cs="宋体"/>
                <w:color w:val="auto"/>
                <w:sz w:val="21"/>
                <w:szCs w:val="21"/>
              </w:rPr>
              <w:t>环境</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安全问题和投诉。</w:t>
            </w:r>
          </w:p>
          <w:p>
            <w:pPr>
              <w:pStyle w:val="18"/>
              <w:keepNext w:val="0"/>
              <w:keepLines w:val="0"/>
              <w:pageBreakBefore w:val="0"/>
              <w:kinsoku/>
              <w:wordWrap/>
              <w:overflowPunct/>
              <w:topLinePunct w:val="0"/>
              <w:bidi w:val="0"/>
              <w:spacing w:line="240" w:lineRule="auto"/>
              <w:ind w:firstLine="420" w:firstLineChars="200"/>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highlight w:val="none"/>
                <w:lang w:val="en-US" w:eastAsia="zh-CN"/>
              </w:rPr>
              <w:t>上次不符合情况验证：已完成整改</w:t>
            </w:r>
          </w:p>
        </w:tc>
        <w:tc>
          <w:tcPr>
            <w:tcW w:w="646" w:type="dxa"/>
            <w:vAlign w:val="center"/>
          </w:tcPr>
          <w:p>
            <w:pPr>
              <w:keepLines w:val="0"/>
              <w:pageBreakBefore w:val="0"/>
              <w:kinsoku/>
              <w:wordWrap/>
              <w:topLinePunct w:val="0"/>
              <w:bidi w:val="0"/>
              <w:spacing w:line="240" w:lineRule="auto"/>
              <w:rPr>
                <w:rFonts w:hint="eastAsia" w:ascii="宋体" w:hAnsi="宋体" w:eastAsia="宋体" w:cs="宋体"/>
                <w:sz w:val="21"/>
                <w:szCs w:val="21"/>
              </w:rPr>
            </w:pPr>
          </w:p>
        </w:tc>
      </w:tr>
    </w:tbl>
    <w:p>
      <w:pPr>
        <w:pStyle w:val="8"/>
      </w:pPr>
      <w:r>
        <w:rPr>
          <w:rFonts w:hint="eastAsia"/>
        </w:rPr>
        <w:t>说明：不符合标注N</w:t>
      </w:r>
    </w:p>
    <w:p>
      <w:pPr>
        <w:rPr>
          <w:rFonts w:hint="eastAsia" w:ascii="隶书" w:hAnsi="宋体" w:eastAsia="隶书"/>
          <w:bCs/>
          <w:color w:val="000000"/>
          <w:sz w:val="36"/>
          <w:szCs w:val="36"/>
        </w:rPr>
      </w:pPr>
      <w:r>
        <w:rPr>
          <w:rFonts w:hint="eastAsia" w:ascii="隶书" w:hAnsi="宋体" w:eastAsia="隶书"/>
          <w:bCs/>
          <w:color w:val="000000"/>
          <w:sz w:val="36"/>
          <w:szCs w:val="36"/>
        </w:rPr>
        <w:br w:type="page"/>
      </w:r>
    </w:p>
    <w:p>
      <w:pPr>
        <w:spacing w:line="480" w:lineRule="exact"/>
        <w:jc w:val="center"/>
      </w:pPr>
      <w:r>
        <w:rPr>
          <w:rFonts w:hint="eastAsia" w:ascii="隶书" w:hAnsi="宋体" w:eastAsia="隶书"/>
          <w:bCs/>
          <w:color w:val="000000"/>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6"/>
        <w:gridCol w:w="1164"/>
        <w:gridCol w:w="11012"/>
        <w:gridCol w:w="5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956" w:type="dxa"/>
            <w:vMerge w:val="restart"/>
            <w:vAlign w:val="center"/>
          </w:tcPr>
          <w:p>
            <w:pPr>
              <w:keepLines w:val="0"/>
              <w:pageBreakBefore w:val="0"/>
              <w:kinsoku/>
              <w:wordWrap/>
              <w:overflowPunct/>
              <w:topLinePunct w:val="0"/>
              <w:bidi w:val="0"/>
              <w:spacing w:line="240" w:lineRule="auto"/>
              <w:jc w:val="center"/>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过程与活动、</w:t>
            </w:r>
          </w:p>
          <w:p>
            <w:pPr>
              <w:keepLines w:val="0"/>
              <w:pageBreakBefore w:val="0"/>
              <w:kinsoku/>
              <w:wordWrap/>
              <w:overflowPunct/>
              <w:topLinePunct w:val="0"/>
              <w:bidi w:val="0"/>
              <w:spacing w:line="240" w:lineRule="auto"/>
              <w:jc w:val="center"/>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抽样计划</w:t>
            </w:r>
          </w:p>
        </w:tc>
        <w:tc>
          <w:tcPr>
            <w:tcW w:w="1164" w:type="dxa"/>
            <w:vMerge w:val="restart"/>
            <w:vAlign w:val="center"/>
          </w:tcPr>
          <w:p>
            <w:pPr>
              <w:keepLines w:val="0"/>
              <w:pageBreakBefore w:val="0"/>
              <w:kinsoku/>
              <w:wordWrap/>
              <w:overflowPunct/>
              <w:topLinePunct w:val="0"/>
              <w:bidi w:val="0"/>
              <w:spacing w:line="240" w:lineRule="auto"/>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涉及</w:t>
            </w:r>
          </w:p>
          <w:p>
            <w:pPr>
              <w:keepLines w:val="0"/>
              <w:pageBreakBefore w:val="0"/>
              <w:kinsoku/>
              <w:wordWrap/>
              <w:overflowPunct/>
              <w:topLinePunct w:val="0"/>
              <w:bidi w:val="0"/>
              <w:spacing w:line="240" w:lineRule="auto"/>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条款</w:t>
            </w:r>
          </w:p>
        </w:tc>
        <w:tc>
          <w:tcPr>
            <w:tcW w:w="11012" w:type="dxa"/>
            <w:vAlign w:val="center"/>
          </w:tcPr>
          <w:p>
            <w:pPr>
              <w:keepLines w:val="0"/>
              <w:pageBreakBefore w:val="0"/>
              <w:kinsoku/>
              <w:wordWrap/>
              <w:overflowPunct/>
              <w:topLinePunct w:val="0"/>
              <w:bidi w:val="0"/>
              <w:spacing w:line="240" w:lineRule="auto"/>
              <w:rPr>
                <w:rFonts w:hint="eastAsia" w:ascii="宋体" w:hAnsi="宋体" w:eastAsia="宋体" w:cs="宋体"/>
                <w:sz w:val="21"/>
                <w:szCs w:val="21"/>
              </w:rPr>
            </w:pPr>
            <w:r>
              <w:rPr>
                <w:rFonts w:hint="eastAsia" w:ascii="宋体" w:hAnsi="宋体" w:eastAsia="宋体" w:cs="宋体"/>
                <w:sz w:val="21"/>
                <w:szCs w:val="21"/>
              </w:rPr>
              <w:t>受审核部门：行政部        主管领导：衡洪伟      陪同人员：周建立</w:t>
            </w:r>
          </w:p>
        </w:tc>
        <w:tc>
          <w:tcPr>
            <w:tcW w:w="577" w:type="dxa"/>
            <w:vMerge w:val="restart"/>
            <w:vAlign w:val="center"/>
          </w:tcPr>
          <w:p>
            <w:pPr>
              <w:keepLines w:val="0"/>
              <w:pageBreakBefore w:val="0"/>
              <w:kinsoku/>
              <w:wordWrap/>
              <w:overflowPunct/>
              <w:topLinePunct w:val="0"/>
              <w:bidi w:val="0"/>
              <w:spacing w:line="240" w:lineRule="auto"/>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956" w:type="dxa"/>
            <w:vMerge w:val="continue"/>
            <w:vAlign w:val="center"/>
          </w:tcPr>
          <w:p>
            <w:pPr>
              <w:keepLines w:val="0"/>
              <w:pageBreakBefore w:val="0"/>
              <w:kinsoku/>
              <w:wordWrap/>
              <w:overflowPunct/>
              <w:topLinePunct w:val="0"/>
              <w:bidi w:val="0"/>
              <w:spacing w:line="240" w:lineRule="auto"/>
              <w:rPr>
                <w:rFonts w:hint="eastAsia" w:ascii="宋体" w:hAnsi="宋体" w:eastAsia="宋体" w:cs="宋体"/>
                <w:color w:val="000000" w:themeColor="text1"/>
                <w:sz w:val="21"/>
                <w:szCs w:val="21"/>
              </w:rPr>
            </w:pPr>
          </w:p>
        </w:tc>
        <w:tc>
          <w:tcPr>
            <w:tcW w:w="1164" w:type="dxa"/>
            <w:vMerge w:val="continue"/>
            <w:vAlign w:val="center"/>
          </w:tcPr>
          <w:p>
            <w:pPr>
              <w:keepLines w:val="0"/>
              <w:pageBreakBefore w:val="0"/>
              <w:kinsoku/>
              <w:wordWrap/>
              <w:overflowPunct/>
              <w:topLinePunct w:val="0"/>
              <w:bidi w:val="0"/>
              <w:spacing w:line="240" w:lineRule="auto"/>
              <w:rPr>
                <w:rFonts w:hint="eastAsia" w:ascii="宋体" w:hAnsi="宋体" w:eastAsia="宋体" w:cs="宋体"/>
                <w:color w:val="000000" w:themeColor="text1"/>
                <w:sz w:val="21"/>
                <w:szCs w:val="21"/>
              </w:rPr>
            </w:pPr>
          </w:p>
        </w:tc>
        <w:tc>
          <w:tcPr>
            <w:tcW w:w="11012" w:type="dxa"/>
            <w:vAlign w:val="center"/>
          </w:tcPr>
          <w:p>
            <w:pPr>
              <w:keepLines w:val="0"/>
              <w:pageBreakBefore w:val="0"/>
              <w:kinsoku/>
              <w:wordWrap/>
              <w:overflowPunct/>
              <w:topLinePunct w:val="0"/>
              <w:bidi w:val="0"/>
              <w:spacing w:line="240" w:lineRule="auto"/>
              <w:rPr>
                <w:rFonts w:hint="eastAsia" w:ascii="宋体" w:hAnsi="宋体" w:eastAsia="宋体" w:cs="宋体"/>
                <w:sz w:val="21"/>
                <w:szCs w:val="21"/>
              </w:rPr>
            </w:pPr>
            <w:r>
              <w:rPr>
                <w:rFonts w:hint="eastAsia" w:ascii="宋体" w:hAnsi="宋体" w:eastAsia="宋体" w:cs="宋体"/>
                <w:sz w:val="21"/>
                <w:szCs w:val="21"/>
              </w:rPr>
              <w:t xml:space="preserve">审核员：  </w:t>
            </w:r>
            <w:r>
              <w:rPr>
                <w:rFonts w:hint="eastAsia" w:ascii="宋体" w:hAnsi="宋体" w:eastAsia="宋体" w:cs="宋体"/>
                <w:sz w:val="21"/>
                <w:szCs w:val="21"/>
                <w:lang w:val="en-US" w:eastAsia="zh-CN"/>
              </w:rPr>
              <w:t>余家龙</w:t>
            </w:r>
            <w:r>
              <w:rPr>
                <w:rFonts w:hint="eastAsia" w:ascii="宋体" w:hAnsi="宋体" w:eastAsia="宋体" w:cs="宋体"/>
                <w:sz w:val="21"/>
                <w:szCs w:val="21"/>
              </w:rPr>
              <w:t xml:space="preserve">           审核时间：2021年8月12日</w:t>
            </w:r>
          </w:p>
        </w:tc>
        <w:tc>
          <w:tcPr>
            <w:tcW w:w="577" w:type="dxa"/>
            <w:vMerge w:val="continue"/>
          </w:tcPr>
          <w:p>
            <w:pPr>
              <w:keepLines w:val="0"/>
              <w:pageBreakBefore w:val="0"/>
              <w:kinsoku/>
              <w:wordWrap/>
              <w:overflowPunct/>
              <w:topLinePunct w:val="0"/>
              <w:bidi w:val="0"/>
              <w:spacing w:line="240" w:lineRule="auto"/>
              <w:rPr>
                <w:rFonts w:hint="eastAsia" w:ascii="宋体" w:hAnsi="宋体" w:eastAsia="宋体" w:cs="宋体"/>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956" w:type="dxa"/>
            <w:vMerge w:val="continue"/>
            <w:vAlign w:val="center"/>
          </w:tcPr>
          <w:p>
            <w:pPr>
              <w:keepLines w:val="0"/>
              <w:pageBreakBefore w:val="0"/>
              <w:kinsoku/>
              <w:wordWrap/>
              <w:overflowPunct/>
              <w:topLinePunct w:val="0"/>
              <w:bidi w:val="0"/>
              <w:spacing w:line="240" w:lineRule="auto"/>
              <w:rPr>
                <w:rFonts w:hint="eastAsia" w:ascii="宋体" w:hAnsi="宋体" w:eastAsia="宋体" w:cs="宋体"/>
                <w:color w:val="000000" w:themeColor="text1"/>
                <w:sz w:val="21"/>
                <w:szCs w:val="21"/>
              </w:rPr>
            </w:pPr>
          </w:p>
        </w:tc>
        <w:tc>
          <w:tcPr>
            <w:tcW w:w="1164" w:type="dxa"/>
            <w:vMerge w:val="continue"/>
            <w:vAlign w:val="center"/>
          </w:tcPr>
          <w:p>
            <w:pPr>
              <w:keepLines w:val="0"/>
              <w:pageBreakBefore w:val="0"/>
              <w:kinsoku/>
              <w:wordWrap/>
              <w:overflowPunct/>
              <w:topLinePunct w:val="0"/>
              <w:bidi w:val="0"/>
              <w:spacing w:line="240" w:lineRule="auto"/>
              <w:rPr>
                <w:rFonts w:hint="eastAsia" w:ascii="宋体" w:hAnsi="宋体" w:eastAsia="宋体" w:cs="宋体"/>
                <w:color w:val="000000" w:themeColor="text1"/>
                <w:sz w:val="21"/>
                <w:szCs w:val="21"/>
              </w:rPr>
            </w:pPr>
          </w:p>
        </w:tc>
        <w:tc>
          <w:tcPr>
            <w:tcW w:w="11012"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18"/>
                <w:szCs w:val="18"/>
                <w:highlight w:val="none"/>
                <w:lang w:eastAsia="zh-CN"/>
              </w:rPr>
            </w:pPr>
            <w:r>
              <w:rPr>
                <w:rFonts w:hint="eastAsia" w:ascii="宋体" w:hAnsi="宋体" w:eastAsia="宋体" w:cs="宋体"/>
                <w:sz w:val="21"/>
                <w:szCs w:val="21"/>
              </w:rPr>
              <w:t>审核过程：</w:t>
            </w:r>
            <w:r>
              <w:rPr>
                <w:rFonts w:hint="eastAsia" w:ascii="宋体" w:hAnsi="宋体" w:eastAsia="宋体" w:cs="宋体"/>
                <w:color w:val="auto"/>
                <w:sz w:val="18"/>
                <w:szCs w:val="18"/>
                <w:highlight w:val="none"/>
                <w:lang w:eastAsia="zh-CN"/>
              </w:rPr>
              <w:t>QMS</w:t>
            </w:r>
            <w:r>
              <w:rPr>
                <w:rFonts w:hint="eastAsia" w:ascii="宋体" w:hAnsi="宋体" w:eastAsia="宋体" w:cs="宋体"/>
                <w:color w:val="auto"/>
                <w:sz w:val="18"/>
                <w:szCs w:val="18"/>
                <w:highlight w:val="none"/>
              </w:rPr>
              <w:t xml:space="preserve"> </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rPr>
              <w:t>5.3岗位/职责 /权限；6.2质量目标及其实现的策划；</w:t>
            </w:r>
            <w:r>
              <w:rPr>
                <w:rFonts w:hint="eastAsia" w:ascii="宋体" w:hAnsi="宋体" w:eastAsia="宋体" w:cs="宋体"/>
                <w:color w:val="auto"/>
                <w:sz w:val="18"/>
                <w:szCs w:val="18"/>
                <w:highlight w:val="none"/>
                <w:lang w:val="en-US" w:eastAsia="zh-CN"/>
              </w:rPr>
              <w:t>9.1.3分析与评价；</w:t>
            </w:r>
            <w:r>
              <w:rPr>
                <w:rFonts w:hint="eastAsia" w:ascii="宋体" w:hAnsi="宋体" w:eastAsia="宋体" w:cs="宋体"/>
                <w:sz w:val="18"/>
                <w:szCs w:val="18"/>
                <w:highlight w:val="none"/>
                <w:lang w:val="en-US" w:eastAsia="zh-CN"/>
              </w:rPr>
              <w:t>9.2内部审核；</w:t>
            </w:r>
            <w:r>
              <w:rPr>
                <w:rFonts w:hint="eastAsia" w:ascii="宋体" w:hAnsi="宋体" w:eastAsia="宋体" w:cs="宋体"/>
                <w:color w:val="auto"/>
                <w:sz w:val="18"/>
                <w:szCs w:val="18"/>
                <w:highlight w:val="none"/>
              </w:rPr>
              <w:t>10.2不合格和纠正措施</w:t>
            </w:r>
            <w:r>
              <w:rPr>
                <w:rFonts w:hint="eastAsia" w:ascii="宋体" w:hAnsi="宋体" w:eastAsia="宋体" w:cs="宋体"/>
                <w:color w:val="auto"/>
                <w:sz w:val="18"/>
                <w:szCs w:val="18"/>
                <w:highlight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eastAsia="zh-CN"/>
              </w:rPr>
              <w:t>EMS:</w:t>
            </w:r>
            <w:r>
              <w:rPr>
                <w:rFonts w:hint="eastAsia" w:ascii="宋体" w:hAnsi="宋体" w:eastAsia="宋体" w:cs="宋体"/>
                <w:color w:val="auto"/>
                <w:sz w:val="18"/>
                <w:szCs w:val="18"/>
                <w:highlight w:val="none"/>
              </w:rPr>
              <w:t xml:space="preserve"> 5.3组织的角色、职责和权限;6.1.2环境因素；6.1.3合规义务；6.2目标及其达成的策划；8.1运行策划和控制；8.2应急准备和响应；</w:t>
            </w:r>
            <w:r>
              <w:rPr>
                <w:rFonts w:hint="eastAsia" w:ascii="宋体" w:hAnsi="宋体" w:eastAsia="宋体" w:cs="宋体"/>
                <w:sz w:val="18"/>
                <w:szCs w:val="18"/>
                <w:highlight w:val="none"/>
              </w:rPr>
              <w:t>9.1.1监测、分析和评估总则；</w:t>
            </w:r>
            <w:r>
              <w:rPr>
                <w:rFonts w:hint="eastAsia" w:ascii="宋体" w:hAnsi="宋体" w:eastAsia="宋体" w:cs="宋体"/>
                <w:color w:val="auto"/>
                <w:sz w:val="18"/>
                <w:szCs w:val="18"/>
                <w:highlight w:val="none"/>
              </w:rPr>
              <w:t>9.1.2符合性评估；</w:t>
            </w:r>
            <w:r>
              <w:rPr>
                <w:rFonts w:hint="eastAsia" w:ascii="宋体" w:hAnsi="宋体" w:eastAsia="宋体" w:cs="宋体"/>
                <w:sz w:val="18"/>
                <w:szCs w:val="18"/>
                <w:highlight w:val="none"/>
                <w:lang w:val="en-US" w:eastAsia="zh-CN"/>
              </w:rPr>
              <w:t>9.2内部审核；</w:t>
            </w:r>
            <w:r>
              <w:rPr>
                <w:rFonts w:hint="eastAsia" w:ascii="宋体" w:hAnsi="宋体" w:eastAsia="宋体" w:cs="宋体"/>
                <w:color w:val="auto"/>
                <w:sz w:val="18"/>
                <w:szCs w:val="18"/>
                <w:highlight w:val="none"/>
              </w:rPr>
              <w:t>10.2不符合和纠正措施/EMS运行控制相关财务支出证据。</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color w:val="auto"/>
                <w:sz w:val="18"/>
                <w:szCs w:val="18"/>
                <w:highlight w:val="none"/>
                <w:lang w:eastAsia="zh-CN"/>
              </w:rPr>
              <w:t>OHSMS:</w:t>
            </w:r>
            <w:r>
              <w:rPr>
                <w:rFonts w:hint="eastAsia" w:ascii="宋体" w:hAnsi="宋体" w:eastAsia="宋体" w:cs="宋体"/>
                <w:color w:val="auto"/>
                <w:sz w:val="18"/>
                <w:szCs w:val="18"/>
                <w:highlight w:val="none"/>
              </w:rPr>
              <w:t>5.3组织的角色、职责和权限；6.1.2危险源辨识和职业安全风险评价；6.1.3法律法规要求和其他要求；6.2目标及其实现的策划；8.1运行策划和控制；8.2应急准备和响应</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rPr>
              <w:t>9.1监视、测量、分析和评价；9.1.2法律法规要求和其他要求的合规性评价；</w:t>
            </w:r>
            <w:r>
              <w:rPr>
                <w:rFonts w:hint="eastAsia" w:ascii="宋体" w:hAnsi="宋体" w:eastAsia="宋体" w:cs="宋体"/>
                <w:sz w:val="18"/>
                <w:szCs w:val="18"/>
                <w:highlight w:val="none"/>
                <w:lang w:val="en-US" w:eastAsia="zh-CN"/>
              </w:rPr>
              <w:t>9.2内部审核；</w:t>
            </w:r>
            <w:r>
              <w:rPr>
                <w:rFonts w:hint="eastAsia" w:ascii="宋体" w:hAnsi="宋体" w:eastAsia="宋体" w:cs="宋体"/>
                <w:color w:val="auto"/>
                <w:sz w:val="18"/>
                <w:szCs w:val="18"/>
                <w:highlight w:val="none"/>
              </w:rPr>
              <w:t>10.</w:t>
            </w:r>
            <w:r>
              <w:rPr>
                <w:rFonts w:hint="eastAsia" w:ascii="宋体" w:hAnsi="宋体" w:eastAsia="宋体" w:cs="宋体"/>
                <w:color w:val="auto"/>
                <w:sz w:val="18"/>
                <w:szCs w:val="18"/>
                <w:highlight w:val="none"/>
                <w:lang w:val="en-US" w:eastAsia="zh-CN"/>
              </w:rPr>
              <w:t>2</w:t>
            </w:r>
            <w:r>
              <w:rPr>
                <w:rFonts w:hint="eastAsia" w:ascii="宋体" w:hAnsi="宋体" w:eastAsia="宋体" w:cs="宋体"/>
                <w:color w:val="auto"/>
                <w:sz w:val="18"/>
                <w:szCs w:val="18"/>
                <w:highlight w:val="none"/>
              </w:rPr>
              <w:t>事件、不符合和纠正措施/OHSMS运行控制财务支出证据。</w:t>
            </w:r>
          </w:p>
        </w:tc>
        <w:tc>
          <w:tcPr>
            <w:tcW w:w="577" w:type="dxa"/>
            <w:vMerge w:val="continue"/>
          </w:tcPr>
          <w:p>
            <w:pPr>
              <w:keepLines w:val="0"/>
              <w:pageBreakBefore w:val="0"/>
              <w:kinsoku/>
              <w:wordWrap/>
              <w:overflowPunct/>
              <w:topLinePunct w:val="0"/>
              <w:bidi w:val="0"/>
              <w:spacing w:line="240" w:lineRule="auto"/>
              <w:rPr>
                <w:rFonts w:hint="eastAsia" w:ascii="宋体" w:hAnsi="宋体" w:eastAsia="宋体" w:cs="宋体"/>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956" w:type="dxa"/>
            <w:vAlign w:val="center"/>
          </w:tcPr>
          <w:p>
            <w:pPr>
              <w:keepLines w:val="0"/>
              <w:pageBreakBefore w:val="0"/>
              <w:kinsoku/>
              <w:wordWrap/>
              <w:overflowPunct/>
              <w:topLinePunct w:val="0"/>
              <w:bidi w:val="0"/>
              <w:spacing w:line="240" w:lineRule="auto"/>
              <w:rPr>
                <w:rFonts w:hint="eastAsia" w:ascii="宋体" w:hAnsi="宋体" w:eastAsia="宋体" w:cs="宋体"/>
                <w:sz w:val="21"/>
                <w:szCs w:val="21"/>
              </w:rPr>
            </w:pPr>
            <w:r>
              <w:rPr>
                <w:rFonts w:hint="eastAsia" w:ascii="宋体" w:hAnsi="宋体" w:eastAsia="宋体" w:cs="宋体"/>
                <w:color w:val="auto"/>
                <w:sz w:val="21"/>
                <w:szCs w:val="21"/>
                <w:highlight w:val="none"/>
              </w:rPr>
              <w:t>组织的角色、职责和权限</w:t>
            </w:r>
          </w:p>
        </w:tc>
        <w:tc>
          <w:tcPr>
            <w:tcW w:w="1164" w:type="dxa"/>
          </w:tcPr>
          <w:p>
            <w:pPr>
              <w:keepLines w:val="0"/>
              <w:pageBreakBefore w:val="0"/>
              <w:kinsoku/>
              <w:wordWrap/>
              <w:overflowPunct/>
              <w:topLinePunct w:val="0"/>
              <w:bidi w:val="0"/>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QE05.3</w:t>
            </w:r>
          </w:p>
        </w:tc>
        <w:tc>
          <w:tcPr>
            <w:tcW w:w="11012" w:type="dxa"/>
            <w:vAlign w:val="center"/>
          </w:tcPr>
          <w:p>
            <w:pPr>
              <w:keepLines w:val="0"/>
              <w:pageBreakBefore w:val="0"/>
              <w:widowControl/>
              <w:numPr>
                <w:ilvl w:val="0"/>
                <w:numId w:val="0"/>
              </w:numPr>
              <w:kinsoku/>
              <w:wordWrap/>
              <w:overflowPunct/>
              <w:topLinePunct w:val="0"/>
              <w:bidi w:val="0"/>
              <w:adjustRightInd w:val="0"/>
              <w:spacing w:line="240" w:lineRule="auto"/>
              <w:ind w:left="420" w:leftChars="0"/>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询问行政部管理人员职责如下：</w:t>
            </w:r>
          </w:p>
          <w:p>
            <w:pPr>
              <w:keepLines w:val="0"/>
              <w:pageBreakBefore w:val="0"/>
              <w:widowControl/>
              <w:numPr>
                <w:ilvl w:val="0"/>
                <w:numId w:val="0"/>
              </w:numPr>
              <w:kinsoku/>
              <w:wordWrap/>
              <w:overflowPunct/>
              <w:topLinePunct w:val="0"/>
              <w:bidi w:val="0"/>
              <w:adjustRightInd w:val="0"/>
              <w:spacing w:line="240" w:lineRule="auto"/>
              <w:textAlignment w:val="baseline"/>
              <w:rPr>
                <w:rFonts w:hint="eastAsia" w:ascii="宋体" w:hAnsi="宋体" w:eastAsia="宋体" w:cs="宋体"/>
                <w:sz w:val="21"/>
                <w:szCs w:val="21"/>
              </w:rPr>
            </w:pPr>
            <w:r>
              <w:rPr>
                <w:rFonts w:hint="eastAsia" w:ascii="宋体" w:hAnsi="宋体" w:eastAsia="宋体" w:cs="宋体"/>
                <w:sz w:val="21"/>
                <w:szCs w:val="21"/>
                <w:lang w:val="en-US" w:eastAsia="zh-CN"/>
              </w:rPr>
              <w:t>A）</w:t>
            </w:r>
            <w:r>
              <w:rPr>
                <w:rFonts w:hint="eastAsia" w:ascii="宋体" w:hAnsi="宋体" w:eastAsia="宋体" w:cs="宋体"/>
                <w:sz w:val="21"/>
                <w:szCs w:val="21"/>
              </w:rPr>
              <w:t>贯彻公司质量、环境和职业健康安全方针，完成质量、环境和职业健康安全目标；</w:t>
            </w:r>
          </w:p>
          <w:p>
            <w:pPr>
              <w:keepLines w:val="0"/>
              <w:pageBreakBefore w:val="0"/>
              <w:widowControl/>
              <w:numPr>
                <w:ilvl w:val="0"/>
                <w:numId w:val="0"/>
              </w:numPr>
              <w:kinsoku/>
              <w:wordWrap/>
              <w:overflowPunct/>
              <w:topLinePunct w:val="0"/>
              <w:bidi w:val="0"/>
              <w:adjustRightInd w:val="0"/>
              <w:spacing w:line="240" w:lineRule="auto"/>
              <w:textAlignment w:val="baseline"/>
              <w:rPr>
                <w:rFonts w:hint="eastAsia" w:ascii="宋体" w:hAnsi="宋体" w:eastAsia="宋体" w:cs="宋体"/>
                <w:sz w:val="21"/>
                <w:szCs w:val="21"/>
              </w:rPr>
            </w:pPr>
            <w:r>
              <w:rPr>
                <w:rFonts w:hint="eastAsia" w:ascii="宋体" w:hAnsi="宋体" w:eastAsia="宋体" w:cs="宋体"/>
                <w:sz w:val="21"/>
                <w:szCs w:val="21"/>
                <w:lang w:val="en-US" w:eastAsia="zh-CN"/>
              </w:rPr>
              <w:t>B）</w:t>
            </w:r>
            <w:r>
              <w:rPr>
                <w:rFonts w:hint="eastAsia" w:ascii="宋体" w:hAnsi="宋体" w:eastAsia="宋体" w:cs="宋体"/>
                <w:sz w:val="21"/>
                <w:szCs w:val="21"/>
              </w:rPr>
              <w:t>组织有关部门起草、修订质量、环境职业健康安全体系文件，负责文件管理，包括发放、回收、归档、更改、保存、销毁并做好相关记录；</w:t>
            </w:r>
          </w:p>
          <w:p>
            <w:pPr>
              <w:keepLines w:val="0"/>
              <w:pageBreakBefore w:val="0"/>
              <w:widowControl/>
              <w:numPr>
                <w:ilvl w:val="0"/>
                <w:numId w:val="0"/>
              </w:numPr>
              <w:kinsoku/>
              <w:wordWrap/>
              <w:overflowPunct/>
              <w:topLinePunct w:val="0"/>
              <w:bidi w:val="0"/>
              <w:adjustRightInd w:val="0"/>
              <w:spacing w:line="240" w:lineRule="auto"/>
              <w:textAlignment w:val="baseline"/>
              <w:rPr>
                <w:rFonts w:hint="eastAsia" w:ascii="宋体" w:hAnsi="宋体" w:eastAsia="宋体" w:cs="宋体"/>
                <w:sz w:val="21"/>
                <w:szCs w:val="21"/>
              </w:rPr>
            </w:pPr>
            <w:r>
              <w:rPr>
                <w:rFonts w:hint="eastAsia" w:ascii="宋体" w:hAnsi="宋体" w:eastAsia="宋体" w:cs="宋体"/>
                <w:sz w:val="21"/>
                <w:szCs w:val="21"/>
                <w:lang w:val="en-US" w:eastAsia="zh-CN"/>
              </w:rPr>
              <w:t>C）</w:t>
            </w:r>
            <w:r>
              <w:rPr>
                <w:rFonts w:hint="eastAsia" w:ascii="宋体" w:hAnsi="宋体" w:eastAsia="宋体" w:cs="宋体"/>
                <w:sz w:val="21"/>
                <w:szCs w:val="21"/>
              </w:rPr>
              <w:t>负责记录的管理并规定记录保存期限，并保存所有体系文件和记录表单电子档备份，组织对现有体系文件定期评审，必要时进行更新；</w:t>
            </w:r>
          </w:p>
          <w:p>
            <w:pPr>
              <w:keepLines w:val="0"/>
              <w:pageBreakBefore w:val="0"/>
              <w:kinsoku/>
              <w:wordWrap/>
              <w:overflowPunct/>
              <w:topLinePunct w:val="0"/>
              <w:bidi w:val="0"/>
              <w:snapToGrid w:val="0"/>
              <w:spacing w:line="240" w:lineRule="auto"/>
              <w:rPr>
                <w:rFonts w:hint="eastAsia" w:ascii="宋体" w:hAnsi="宋体" w:eastAsia="宋体" w:cs="宋体"/>
                <w:sz w:val="21"/>
                <w:szCs w:val="21"/>
              </w:rPr>
            </w:pPr>
            <w:r>
              <w:rPr>
                <w:rFonts w:hint="eastAsia" w:ascii="宋体" w:hAnsi="宋体" w:eastAsia="宋体" w:cs="宋体"/>
                <w:sz w:val="21"/>
                <w:szCs w:val="21"/>
              </w:rPr>
              <w:t>d）负责参与对政府、行政部门的联络及公司内部沟通。对外部供方单位的环境、安全行为施加影响；</w:t>
            </w:r>
          </w:p>
          <w:p>
            <w:pPr>
              <w:keepLines w:val="0"/>
              <w:pageBreakBefore w:val="0"/>
              <w:widowControl/>
              <w:kinsoku/>
              <w:wordWrap/>
              <w:overflowPunct/>
              <w:topLinePunct w:val="0"/>
              <w:bidi w:val="0"/>
              <w:adjustRightInd w:val="0"/>
              <w:spacing w:line="240" w:lineRule="auto"/>
              <w:textAlignment w:val="baseline"/>
              <w:rPr>
                <w:rFonts w:hint="eastAsia" w:ascii="宋体" w:hAnsi="宋体" w:eastAsia="宋体" w:cs="宋体"/>
                <w:sz w:val="21"/>
                <w:szCs w:val="21"/>
              </w:rPr>
            </w:pPr>
            <w:r>
              <w:rPr>
                <w:rFonts w:hint="eastAsia" w:ascii="宋体" w:hAnsi="宋体" w:eastAsia="宋体" w:cs="宋体"/>
                <w:sz w:val="21"/>
                <w:szCs w:val="21"/>
              </w:rPr>
              <w:t>e)负责质量、环境和职业健康安全法律、法规的获取和评价、跟踪和更新，应用于相应的环境因素和危险源和适用部门的识别；并进行评价、跟踪和更新；</w:t>
            </w:r>
          </w:p>
          <w:p>
            <w:pPr>
              <w:keepLines w:val="0"/>
              <w:pageBreakBefore w:val="0"/>
              <w:widowControl/>
              <w:kinsoku/>
              <w:wordWrap/>
              <w:overflowPunct/>
              <w:topLinePunct w:val="0"/>
              <w:bidi w:val="0"/>
              <w:adjustRightInd w:val="0"/>
              <w:spacing w:line="240" w:lineRule="auto"/>
              <w:textAlignment w:val="baseline"/>
              <w:rPr>
                <w:rFonts w:hint="eastAsia" w:ascii="宋体" w:hAnsi="宋体" w:eastAsia="宋体" w:cs="宋体"/>
                <w:sz w:val="21"/>
                <w:szCs w:val="21"/>
              </w:rPr>
            </w:pPr>
            <w:r>
              <w:rPr>
                <w:rFonts w:hint="eastAsia" w:ascii="宋体" w:hAnsi="宋体" w:eastAsia="宋体" w:cs="宋体"/>
                <w:sz w:val="21"/>
                <w:szCs w:val="21"/>
              </w:rPr>
              <w:t>f)负责第二方或第三方关于管理体系类的外部审查的策划、组织准备、接待，组织对外部审查所提出的问题整改和改进建议的沟通、实施和结果回复，综合外部审查的各项改进建议，结合公司的实际管理水平，持续改善公司的综合管理水平；</w:t>
            </w:r>
          </w:p>
          <w:p>
            <w:pPr>
              <w:keepLines w:val="0"/>
              <w:pageBreakBefore w:val="0"/>
              <w:widowControl/>
              <w:kinsoku/>
              <w:wordWrap/>
              <w:overflowPunct/>
              <w:topLinePunct w:val="0"/>
              <w:bidi w:val="0"/>
              <w:adjustRightInd w:val="0"/>
              <w:spacing w:line="240" w:lineRule="auto"/>
              <w:textAlignment w:val="baseline"/>
              <w:rPr>
                <w:rFonts w:hint="eastAsia" w:ascii="宋体" w:hAnsi="宋体" w:eastAsia="宋体" w:cs="宋体"/>
                <w:sz w:val="21"/>
                <w:szCs w:val="21"/>
              </w:rPr>
            </w:pPr>
            <w:r>
              <w:rPr>
                <w:rFonts w:hint="eastAsia" w:ascii="宋体" w:hAnsi="宋体" w:eastAsia="宋体" w:cs="宋体"/>
                <w:sz w:val="21"/>
                <w:szCs w:val="21"/>
              </w:rPr>
              <w:t>g)负责管理评审、内部审核的组织落实，并保存管理评审和内部审核资料；</w:t>
            </w:r>
          </w:p>
          <w:p>
            <w:pPr>
              <w:keepLines w:val="0"/>
              <w:pageBreakBefore w:val="0"/>
              <w:widowControl/>
              <w:kinsoku/>
              <w:wordWrap/>
              <w:overflowPunct/>
              <w:topLinePunct w:val="0"/>
              <w:bidi w:val="0"/>
              <w:adjustRightInd w:val="0"/>
              <w:spacing w:line="240" w:lineRule="auto"/>
              <w:textAlignment w:val="baseline"/>
              <w:rPr>
                <w:rFonts w:hint="eastAsia" w:ascii="宋体" w:hAnsi="宋体" w:eastAsia="宋体" w:cs="宋体"/>
                <w:sz w:val="21"/>
                <w:szCs w:val="21"/>
              </w:rPr>
            </w:pPr>
            <w:r>
              <w:rPr>
                <w:rFonts w:hint="eastAsia" w:ascii="宋体" w:hAnsi="宋体" w:eastAsia="宋体" w:cs="宋体"/>
                <w:sz w:val="21"/>
                <w:szCs w:val="21"/>
              </w:rPr>
              <w:t>h)负责办公设备的归口管理、维护。包括对电脑及相关附件、信息系统等建立台帐,并作日常维护；及时收集处理公司内的打印机、复印机废旧墨盒、硒鼓及废纸；</w:t>
            </w:r>
          </w:p>
          <w:p>
            <w:pPr>
              <w:keepLines w:val="0"/>
              <w:pageBreakBefore w:val="0"/>
              <w:widowControl/>
              <w:kinsoku/>
              <w:wordWrap/>
              <w:overflowPunct/>
              <w:topLinePunct w:val="0"/>
              <w:bidi w:val="0"/>
              <w:adjustRightInd w:val="0"/>
              <w:spacing w:line="240" w:lineRule="auto"/>
              <w:textAlignment w:val="baseline"/>
              <w:rPr>
                <w:rFonts w:hint="eastAsia" w:ascii="宋体" w:hAnsi="宋体" w:eastAsia="宋体" w:cs="宋体"/>
                <w:sz w:val="21"/>
                <w:szCs w:val="21"/>
              </w:rPr>
            </w:pPr>
            <w:r>
              <w:rPr>
                <w:rFonts w:hint="eastAsia" w:ascii="宋体" w:hAnsi="宋体" w:eastAsia="宋体" w:cs="宋体"/>
                <w:sz w:val="21"/>
                <w:szCs w:val="21"/>
              </w:rPr>
              <w:t xml:space="preserve">i)制订公司各级员工劳保、后勤卫生等方面的实施方案； </w:t>
            </w:r>
          </w:p>
          <w:p>
            <w:pPr>
              <w:keepLines w:val="0"/>
              <w:pageBreakBefore w:val="0"/>
              <w:widowControl/>
              <w:kinsoku/>
              <w:wordWrap/>
              <w:overflowPunct/>
              <w:topLinePunct w:val="0"/>
              <w:bidi w:val="0"/>
              <w:adjustRightInd w:val="0"/>
              <w:spacing w:line="240" w:lineRule="auto"/>
              <w:textAlignment w:val="baseline"/>
              <w:rPr>
                <w:rFonts w:hint="eastAsia" w:ascii="宋体" w:hAnsi="宋体" w:eastAsia="宋体" w:cs="宋体"/>
                <w:sz w:val="21"/>
                <w:szCs w:val="21"/>
              </w:rPr>
            </w:pPr>
            <w:r>
              <w:rPr>
                <w:rFonts w:hint="eastAsia" w:ascii="宋体" w:hAnsi="宋体" w:eastAsia="宋体" w:cs="宋体"/>
                <w:sz w:val="21"/>
                <w:szCs w:val="21"/>
              </w:rPr>
              <w:t>j)负责公司应急准备和响应的策划、定期演练，协助管代对紧急情况的统一指挥；</w:t>
            </w:r>
          </w:p>
          <w:p>
            <w:pPr>
              <w:keepLines w:val="0"/>
              <w:pageBreakBefore w:val="0"/>
              <w:widowControl/>
              <w:kinsoku/>
              <w:wordWrap/>
              <w:overflowPunct/>
              <w:topLinePunct w:val="0"/>
              <w:bidi w:val="0"/>
              <w:adjustRightInd w:val="0"/>
              <w:spacing w:line="240" w:lineRule="auto"/>
              <w:textAlignment w:val="baseline"/>
              <w:rPr>
                <w:rFonts w:hint="eastAsia" w:ascii="宋体" w:hAnsi="宋体" w:eastAsia="宋体" w:cs="宋体"/>
                <w:sz w:val="21"/>
                <w:szCs w:val="21"/>
              </w:rPr>
            </w:pPr>
            <w:r>
              <w:rPr>
                <w:rFonts w:hint="eastAsia" w:ascii="宋体" w:hAnsi="宋体" w:eastAsia="宋体" w:cs="宋体"/>
                <w:sz w:val="21"/>
                <w:szCs w:val="21"/>
              </w:rPr>
              <w:t>k)负责消防设施的保养维护管理,维持作业现场的清洁卫生，对作业人员的职业卫生和安全进行管理；</w:t>
            </w:r>
          </w:p>
          <w:p>
            <w:pPr>
              <w:keepLines w:val="0"/>
              <w:pageBreakBefore w:val="0"/>
              <w:widowControl/>
              <w:kinsoku/>
              <w:wordWrap/>
              <w:overflowPunct/>
              <w:topLinePunct w:val="0"/>
              <w:bidi w:val="0"/>
              <w:adjustRightInd w:val="0"/>
              <w:spacing w:line="240" w:lineRule="auto"/>
              <w:textAlignment w:val="baseline"/>
              <w:rPr>
                <w:rFonts w:hint="eastAsia" w:ascii="宋体" w:hAnsi="宋体" w:eastAsia="宋体" w:cs="宋体"/>
                <w:sz w:val="21"/>
                <w:szCs w:val="21"/>
              </w:rPr>
            </w:pPr>
            <w:r>
              <w:rPr>
                <w:rFonts w:hint="eastAsia" w:ascii="宋体" w:hAnsi="宋体" w:eastAsia="宋体" w:cs="宋体"/>
                <w:sz w:val="21"/>
                <w:szCs w:val="21"/>
              </w:rPr>
              <w:t>l)代表员工参与职业健康安全的有关管理工作，汇集报告员工的意见和建议，并与相关部门协商解决或上报，确保充分发挥员工在环境保护中的作用；</w:t>
            </w:r>
          </w:p>
          <w:p>
            <w:pPr>
              <w:keepLines w:val="0"/>
              <w:pageBreakBefore w:val="0"/>
              <w:widowControl/>
              <w:kinsoku/>
              <w:wordWrap/>
              <w:overflowPunct/>
              <w:topLinePunct w:val="0"/>
              <w:bidi w:val="0"/>
              <w:adjustRightInd w:val="0"/>
              <w:spacing w:line="240" w:lineRule="auto"/>
              <w:textAlignment w:val="baseline"/>
              <w:rPr>
                <w:rFonts w:hint="eastAsia" w:ascii="宋体" w:hAnsi="宋体" w:eastAsia="宋体" w:cs="宋体"/>
                <w:sz w:val="21"/>
                <w:szCs w:val="21"/>
              </w:rPr>
            </w:pPr>
            <w:r>
              <w:rPr>
                <w:rFonts w:hint="eastAsia" w:ascii="宋体" w:hAnsi="宋体" w:eastAsia="宋体" w:cs="宋体"/>
                <w:sz w:val="21"/>
                <w:szCs w:val="21"/>
              </w:rPr>
              <w:t>m)负责组织员工开展遵章守纪和预防事故的群众性活动。关心员工职业健康安全条件的改善，加强女职工和未成年工的保护；</w:t>
            </w:r>
          </w:p>
          <w:p>
            <w:pPr>
              <w:keepLines w:val="0"/>
              <w:pageBreakBefore w:val="0"/>
              <w:widowControl/>
              <w:kinsoku/>
              <w:wordWrap/>
              <w:overflowPunct/>
              <w:topLinePunct w:val="0"/>
              <w:bidi w:val="0"/>
              <w:adjustRightInd w:val="0"/>
              <w:spacing w:line="240" w:lineRule="auto"/>
              <w:textAlignment w:val="baseline"/>
              <w:rPr>
                <w:rFonts w:hint="eastAsia" w:ascii="宋体" w:hAnsi="宋体" w:eastAsia="宋体" w:cs="宋体"/>
                <w:sz w:val="21"/>
                <w:szCs w:val="21"/>
              </w:rPr>
            </w:pPr>
            <w:r>
              <w:rPr>
                <w:rFonts w:hint="eastAsia" w:ascii="宋体" w:hAnsi="宋体" w:eastAsia="宋体" w:cs="宋体"/>
                <w:sz w:val="21"/>
                <w:szCs w:val="21"/>
              </w:rPr>
              <w:t>n)负责环境事故、职业健康安全、工伤事故等事件的调查；负责环境、职业健康的不符合评定，参与产品不合格的判定，组织相应部门制订相应的纠正预防和预防措施，并进行跟踪和验证。</w:t>
            </w:r>
          </w:p>
          <w:p>
            <w:pPr>
              <w:pStyle w:val="2"/>
              <w:keepLines w:val="0"/>
              <w:pageBreakBefore w:val="0"/>
              <w:kinsoku/>
              <w:wordWrap/>
              <w:overflowPunct/>
              <w:topLinePunct w:val="0"/>
              <w:bidi w:val="0"/>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行政部负责人：</w:t>
            </w:r>
            <w:r>
              <w:rPr>
                <w:rFonts w:hint="eastAsia" w:ascii="宋体" w:hAnsi="宋体" w:eastAsia="宋体" w:cs="宋体"/>
                <w:sz w:val="21"/>
                <w:szCs w:val="21"/>
              </w:rPr>
              <w:t>衡洪伟</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其了解部门相关职责，符合要求</w:t>
            </w:r>
          </w:p>
        </w:tc>
        <w:tc>
          <w:tcPr>
            <w:tcW w:w="577" w:type="dxa"/>
            <w:vAlign w:val="top"/>
          </w:tcPr>
          <w:p>
            <w:pPr>
              <w:keepLines w:val="0"/>
              <w:pageBreakBefore w:val="0"/>
              <w:kinsoku/>
              <w:wordWrap/>
              <w:overflowPunct/>
              <w:topLinePunct w:val="0"/>
              <w:bidi w:val="0"/>
              <w:spacing w:line="24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956" w:type="dxa"/>
            <w:vAlign w:val="top"/>
          </w:tcPr>
          <w:p>
            <w:pPr>
              <w:keepLines w:val="0"/>
              <w:pageBreakBefore w:val="0"/>
              <w:kinsoku/>
              <w:wordWrap/>
              <w:overflowPunct/>
              <w:topLinePunct w:val="0"/>
              <w:bidi w:val="0"/>
              <w:spacing w:line="240" w:lineRule="auto"/>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目标、指标管理方案</w:t>
            </w:r>
          </w:p>
          <w:p>
            <w:pPr>
              <w:keepLines w:val="0"/>
              <w:pageBreakBefore w:val="0"/>
              <w:kinsoku/>
              <w:wordWrap/>
              <w:overflowPunct/>
              <w:topLinePunct w:val="0"/>
              <w:bidi w:val="0"/>
              <w:spacing w:line="240" w:lineRule="auto"/>
              <w:rPr>
                <w:rFonts w:hint="eastAsia" w:ascii="宋体" w:hAnsi="宋体" w:eastAsia="宋体" w:cs="宋体"/>
                <w:kern w:val="2"/>
                <w:sz w:val="21"/>
                <w:szCs w:val="21"/>
                <w:lang w:val="en-US" w:eastAsia="zh-CN" w:bidi="ar-SA"/>
              </w:rPr>
            </w:pPr>
          </w:p>
        </w:tc>
        <w:tc>
          <w:tcPr>
            <w:tcW w:w="1164" w:type="dxa"/>
            <w:vAlign w:val="top"/>
          </w:tcPr>
          <w:p>
            <w:pPr>
              <w:pStyle w:val="16"/>
              <w:keepLines w:val="0"/>
              <w:pageBreakBefore w:val="0"/>
              <w:kinsoku/>
              <w:wordWrap/>
              <w:overflowPunct/>
              <w:topLinePunct w:val="0"/>
              <w:bidi w:val="0"/>
              <w:spacing w:before="0" w:after="0" w:line="240" w:lineRule="auto"/>
              <w:rPr>
                <w:rFonts w:hint="eastAsia" w:ascii="宋体" w:hAnsi="宋体" w:eastAsia="宋体" w:cs="宋体"/>
                <w:bCs/>
                <w:color w:val="FF0000"/>
                <w:spacing w:val="10"/>
                <w:kern w:val="2"/>
                <w:sz w:val="21"/>
                <w:szCs w:val="21"/>
                <w:lang w:val="en-US" w:eastAsia="zh-CN" w:bidi="ar-SA"/>
              </w:rPr>
            </w:pPr>
            <w:r>
              <w:rPr>
                <w:rFonts w:hint="eastAsia" w:ascii="宋体" w:hAnsi="宋体" w:eastAsia="宋体" w:cs="宋体"/>
                <w:sz w:val="21"/>
                <w:szCs w:val="21"/>
                <w:lang w:val="en-US" w:eastAsia="zh-CN"/>
              </w:rPr>
              <w:t>QEO</w:t>
            </w:r>
            <w:r>
              <w:rPr>
                <w:rFonts w:hint="eastAsia" w:ascii="宋体" w:hAnsi="宋体" w:eastAsia="宋体" w:cs="宋体"/>
                <w:sz w:val="21"/>
                <w:szCs w:val="21"/>
              </w:rPr>
              <w:t>：6.2</w:t>
            </w:r>
          </w:p>
        </w:tc>
        <w:tc>
          <w:tcPr>
            <w:tcW w:w="11012" w:type="dxa"/>
            <w:vAlign w:val="top"/>
          </w:tcPr>
          <w:p>
            <w:pPr>
              <w:keepLines w:val="0"/>
              <w:pageBreakBefore w:val="0"/>
              <w:kinsoku/>
              <w:wordWrap/>
              <w:overflowPunct/>
              <w:topLinePunct w:val="0"/>
              <w:autoSpaceDE w:val="0"/>
              <w:autoSpaceDN w:val="0"/>
              <w:bidi w:val="0"/>
              <w:spacing w:line="240" w:lineRule="auto"/>
              <w:rPr>
                <w:rFonts w:hint="eastAsia" w:ascii="宋体" w:hAnsi="宋体" w:eastAsia="宋体" w:cs="宋体"/>
                <w:sz w:val="21"/>
                <w:szCs w:val="21"/>
              </w:rPr>
            </w:pPr>
            <w:r>
              <w:rPr>
                <w:rFonts w:hint="eastAsia" w:ascii="宋体" w:hAnsi="宋体" w:eastAsia="宋体" w:cs="宋体"/>
                <w:sz w:val="21"/>
                <w:szCs w:val="21"/>
              </w:rPr>
              <w:t>编制了《目标指标管理方案控制程序》，公司有将质量、环境、职业健康安全目标分解到各个部门，</w:t>
            </w:r>
          </w:p>
          <w:p>
            <w:pPr>
              <w:keepLines w:val="0"/>
              <w:pageBreakBefore w:val="0"/>
              <w:kinsoku/>
              <w:wordWrap/>
              <w:overflowPunct/>
              <w:topLinePunct w:val="0"/>
              <w:autoSpaceDE w:val="0"/>
              <w:autoSpaceDN w:val="0"/>
              <w:bidi w:val="0"/>
              <w:spacing w:line="240" w:lineRule="auto"/>
              <w:rPr>
                <w:rFonts w:hint="eastAsia" w:ascii="宋体" w:hAnsi="宋体" w:eastAsia="宋体" w:cs="宋体"/>
                <w:color w:val="000000" w:themeColor="text1"/>
                <w:sz w:val="21"/>
                <w:szCs w:val="21"/>
                <w:lang w:val="en-US" w:eastAsia="zh-CN"/>
              </w:rPr>
            </w:pPr>
            <w:r>
              <w:rPr>
                <w:rFonts w:hint="eastAsia" w:ascii="宋体" w:hAnsi="宋体" w:eastAsia="宋体" w:cs="宋体"/>
                <w:color w:val="000000" w:themeColor="text1"/>
                <w:sz w:val="21"/>
                <w:szCs w:val="21"/>
              </w:rPr>
              <w:t>行政部的目标是：</w:t>
            </w:r>
            <w:r>
              <w:rPr>
                <w:rFonts w:hint="eastAsia" w:ascii="宋体" w:hAnsi="宋体" w:eastAsia="宋体" w:cs="宋体"/>
                <w:color w:val="000000" w:themeColor="text1"/>
                <w:sz w:val="21"/>
                <w:szCs w:val="21"/>
                <w:lang w:val="en-US" w:eastAsia="zh-CN"/>
              </w:rPr>
              <w:t xml:space="preserve">                              </w:t>
            </w:r>
            <w:r>
              <w:rPr>
                <w:rFonts w:hint="eastAsia" w:ascii="宋体" w:hAnsi="宋体" w:eastAsia="宋体" w:cs="宋体"/>
                <w:sz w:val="21"/>
                <w:szCs w:val="21"/>
                <w:lang w:val="en-US" w:eastAsia="zh-CN"/>
              </w:rPr>
              <w:t xml:space="preserve"> 完成情况： 2022年1月-6月</w:t>
            </w:r>
          </w:p>
          <w:p>
            <w:pPr>
              <w:pStyle w:val="17"/>
              <w:keepLines w:val="0"/>
              <w:pageBreakBefore w:val="0"/>
              <w:kinsoku/>
              <w:wordWrap/>
              <w:overflowPunct/>
              <w:topLinePunct w:val="0"/>
              <w:bidi w:val="0"/>
              <w:spacing w:line="240" w:lineRule="auto"/>
              <w:jc w:val="left"/>
              <w:rPr>
                <w:rFonts w:hint="eastAsia" w:ascii="宋体" w:hAnsi="宋体" w:eastAsia="宋体" w:cs="宋体"/>
                <w:sz w:val="21"/>
                <w:szCs w:val="21"/>
                <w:lang w:val="en-US" w:eastAsia="zh-CN"/>
              </w:rPr>
            </w:pPr>
            <w:r>
              <w:rPr>
                <w:rFonts w:hint="eastAsia" w:ascii="宋体" w:hAnsi="宋体" w:eastAsia="宋体" w:cs="宋体"/>
                <w:sz w:val="21"/>
                <w:szCs w:val="21"/>
              </w:rPr>
              <w:t>1、新员工上岗前培训率100%，</w:t>
            </w:r>
            <w:r>
              <w:rPr>
                <w:rFonts w:hint="eastAsia" w:ascii="宋体" w:hAnsi="宋体" w:eastAsia="宋体" w:cs="宋体"/>
                <w:sz w:val="21"/>
                <w:szCs w:val="21"/>
                <w:lang w:val="en-US" w:eastAsia="zh-CN"/>
              </w:rPr>
              <w:t xml:space="preserve">                           实测：100%</w:t>
            </w:r>
          </w:p>
          <w:p>
            <w:pPr>
              <w:pStyle w:val="17"/>
              <w:keepLines w:val="0"/>
              <w:pageBreakBefore w:val="0"/>
              <w:numPr>
                <w:ilvl w:val="0"/>
                <w:numId w:val="1"/>
              </w:numPr>
              <w:kinsoku/>
              <w:wordWrap/>
              <w:overflowPunct/>
              <w:topLinePunct w:val="0"/>
              <w:bidi w:val="0"/>
              <w:spacing w:line="240" w:lineRule="auto"/>
              <w:jc w:val="left"/>
              <w:rPr>
                <w:rFonts w:hint="eastAsia" w:ascii="宋体" w:hAnsi="宋体" w:eastAsia="宋体" w:cs="宋体"/>
                <w:sz w:val="21"/>
                <w:szCs w:val="21"/>
              </w:rPr>
            </w:pPr>
            <w:r>
              <w:rPr>
                <w:rFonts w:hint="eastAsia" w:ascii="宋体" w:hAnsi="宋体" w:eastAsia="宋体" w:cs="宋体"/>
                <w:sz w:val="21"/>
                <w:szCs w:val="21"/>
              </w:rPr>
              <w:t xml:space="preserve">人员培训覆盖率100%；          </w:t>
            </w:r>
            <w:r>
              <w:rPr>
                <w:rFonts w:hint="eastAsia" w:ascii="宋体" w:hAnsi="宋体" w:eastAsia="宋体" w:cs="宋体"/>
                <w:sz w:val="21"/>
                <w:szCs w:val="21"/>
                <w:lang w:val="en-US" w:eastAsia="zh-CN"/>
              </w:rPr>
              <w:t xml:space="preserve">                    实测：100%</w:t>
            </w:r>
          </w:p>
          <w:p>
            <w:pPr>
              <w:pStyle w:val="17"/>
              <w:keepLines w:val="0"/>
              <w:pageBreakBefore w:val="0"/>
              <w:numPr>
                <w:ilvl w:val="0"/>
                <w:numId w:val="1"/>
              </w:numPr>
              <w:kinsoku/>
              <w:wordWrap/>
              <w:overflowPunct/>
              <w:topLinePunct w:val="0"/>
              <w:bidi w:val="0"/>
              <w:spacing w:line="240" w:lineRule="auto"/>
              <w:jc w:val="left"/>
              <w:rPr>
                <w:rFonts w:hint="eastAsia" w:ascii="宋体" w:hAnsi="宋体" w:eastAsia="宋体" w:cs="宋体"/>
                <w:sz w:val="21"/>
                <w:szCs w:val="21"/>
              </w:rPr>
            </w:pPr>
            <w:r>
              <w:rPr>
                <w:rFonts w:hint="eastAsia" w:ascii="宋体" w:hAnsi="宋体" w:eastAsia="宋体" w:cs="宋体"/>
                <w:sz w:val="21"/>
                <w:szCs w:val="21"/>
              </w:rPr>
              <w:t>固体废弃物100%合理分类处理；</w:t>
            </w:r>
            <w:r>
              <w:rPr>
                <w:rFonts w:hint="eastAsia" w:ascii="宋体" w:hAnsi="宋体" w:eastAsia="宋体" w:cs="宋体"/>
                <w:sz w:val="21"/>
                <w:szCs w:val="21"/>
                <w:lang w:val="en-US" w:eastAsia="zh-CN"/>
              </w:rPr>
              <w:t xml:space="preserve">                      实测：100%</w:t>
            </w:r>
          </w:p>
          <w:p>
            <w:pPr>
              <w:pStyle w:val="17"/>
              <w:keepLines w:val="0"/>
              <w:pageBreakBefore w:val="0"/>
              <w:numPr>
                <w:ilvl w:val="0"/>
                <w:numId w:val="1"/>
              </w:numPr>
              <w:kinsoku/>
              <w:wordWrap/>
              <w:overflowPunct/>
              <w:topLinePunct w:val="0"/>
              <w:bidi w:val="0"/>
              <w:spacing w:line="240" w:lineRule="auto"/>
              <w:jc w:val="left"/>
              <w:rPr>
                <w:rFonts w:hint="eastAsia" w:ascii="宋体" w:hAnsi="宋体" w:eastAsia="宋体" w:cs="宋体"/>
                <w:sz w:val="21"/>
                <w:szCs w:val="21"/>
              </w:rPr>
            </w:pPr>
            <w:r>
              <w:rPr>
                <w:rFonts w:hint="eastAsia" w:ascii="宋体" w:hAnsi="宋体" w:eastAsia="宋体" w:cs="宋体"/>
                <w:sz w:val="21"/>
                <w:szCs w:val="21"/>
              </w:rPr>
              <w:t>触电事故发生率为零；</w:t>
            </w:r>
            <w:r>
              <w:rPr>
                <w:rFonts w:hint="eastAsia" w:ascii="宋体" w:hAnsi="宋体" w:eastAsia="宋体" w:cs="宋体"/>
                <w:sz w:val="21"/>
                <w:szCs w:val="21"/>
                <w:lang w:val="en-US" w:eastAsia="zh-CN"/>
              </w:rPr>
              <w:t xml:space="preserve">                              实测：0</w:t>
            </w:r>
          </w:p>
          <w:p>
            <w:pPr>
              <w:pStyle w:val="17"/>
              <w:keepLines w:val="0"/>
              <w:pageBreakBefore w:val="0"/>
              <w:kinsoku/>
              <w:wordWrap/>
              <w:overflowPunct/>
              <w:topLinePunct w:val="0"/>
              <w:bidi w:val="0"/>
              <w:spacing w:line="240" w:lineRule="auto"/>
              <w:jc w:val="left"/>
              <w:rPr>
                <w:rFonts w:hint="eastAsia" w:ascii="宋体" w:hAnsi="宋体" w:eastAsia="宋体" w:cs="宋体"/>
                <w:sz w:val="21"/>
                <w:szCs w:val="21"/>
                <w:lang w:val="en-US" w:eastAsia="zh-CN"/>
              </w:rPr>
            </w:pPr>
            <w:r>
              <w:rPr>
                <w:rFonts w:hint="eastAsia" w:ascii="宋体" w:hAnsi="宋体" w:eastAsia="宋体" w:cs="宋体"/>
                <w:sz w:val="21"/>
                <w:szCs w:val="21"/>
              </w:rPr>
              <w:t>5、各类重伤以上事故发生率为零；</w:t>
            </w:r>
            <w:r>
              <w:rPr>
                <w:rFonts w:hint="eastAsia" w:ascii="宋体" w:hAnsi="宋体" w:eastAsia="宋体" w:cs="宋体"/>
                <w:sz w:val="21"/>
                <w:szCs w:val="21"/>
                <w:lang w:val="en-US" w:eastAsia="zh-CN"/>
              </w:rPr>
              <w:t xml:space="preserve">                         实测：0</w:t>
            </w:r>
          </w:p>
          <w:p>
            <w:pPr>
              <w:keepLines w:val="0"/>
              <w:pageBreakBefore w:val="0"/>
              <w:tabs>
                <w:tab w:val="center" w:pos="3169"/>
              </w:tabs>
              <w:kinsoku/>
              <w:wordWrap/>
              <w:overflowPunct/>
              <w:topLinePunct w:val="0"/>
              <w:bidi w:val="0"/>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rPr>
              <w:t>6、火灾隐患查处率100%</w:t>
            </w:r>
            <w:r>
              <w:rPr>
                <w:rFonts w:hint="eastAsia" w:ascii="宋体" w:hAnsi="宋体" w:eastAsia="宋体" w:cs="宋体"/>
                <w:sz w:val="21"/>
                <w:szCs w:val="21"/>
                <w:lang w:val="en-US" w:eastAsia="zh-CN"/>
              </w:rPr>
              <w:t xml:space="preserve">                                  实测：100%</w:t>
            </w:r>
          </w:p>
          <w:p>
            <w:pPr>
              <w:keepLines w:val="0"/>
              <w:pageBreakBefore w:val="0"/>
              <w:tabs>
                <w:tab w:val="center" w:pos="3169"/>
              </w:tabs>
              <w:kinsoku/>
              <w:wordWrap/>
              <w:overflowPunct/>
              <w:topLinePunct w:val="0"/>
              <w:bidi w:val="0"/>
              <w:spacing w:line="240" w:lineRule="auto"/>
              <w:rPr>
                <w:rFonts w:hint="eastAsia" w:ascii="宋体" w:hAnsi="宋体" w:eastAsia="宋体" w:cs="宋体"/>
                <w:sz w:val="21"/>
                <w:szCs w:val="21"/>
              </w:rPr>
            </w:pPr>
            <w:r>
              <w:rPr>
                <w:rFonts w:hint="eastAsia" w:ascii="宋体" w:hAnsi="宋体" w:eastAsia="宋体" w:cs="宋体"/>
                <w:sz w:val="21"/>
                <w:szCs w:val="21"/>
              </w:rPr>
              <w:t>提供《管理目标完成情况统计表》</w:t>
            </w:r>
            <w:r>
              <w:rPr>
                <w:rFonts w:hint="eastAsia" w:ascii="宋体" w:hAnsi="宋体" w:eastAsia="宋体" w:cs="宋体"/>
                <w:sz w:val="21"/>
                <w:szCs w:val="21"/>
                <w:lang w:val="en-US" w:eastAsia="zh-CN"/>
              </w:rPr>
              <w:t>2022年6月</w:t>
            </w:r>
            <w:r>
              <w:rPr>
                <w:rFonts w:hint="eastAsia" w:ascii="宋体" w:hAnsi="宋体" w:eastAsia="宋体" w:cs="宋体"/>
                <w:sz w:val="21"/>
                <w:szCs w:val="21"/>
              </w:rPr>
              <w:t>完成情况：已完成。</w:t>
            </w:r>
          </w:p>
          <w:p>
            <w:pPr>
              <w:keepLines w:val="0"/>
              <w:pageBreakBefore w:val="0"/>
              <w:kinsoku/>
              <w:wordWrap/>
              <w:overflowPunct/>
              <w:topLinePunct w:val="0"/>
              <w:bidi w:val="0"/>
              <w:spacing w:line="240" w:lineRule="auto"/>
              <w:ind w:left="-525" w:leftChars="-250"/>
              <w:rPr>
                <w:rFonts w:hint="eastAsia" w:ascii="宋体" w:hAnsi="宋体" w:eastAsia="宋体" w:cs="宋体"/>
                <w:sz w:val="21"/>
                <w:szCs w:val="21"/>
              </w:rPr>
            </w:pPr>
            <w:r>
              <w:rPr>
                <w:rFonts w:hint="eastAsia" w:ascii="宋体" w:hAnsi="宋体" w:eastAsia="宋体" w:cs="宋体"/>
                <w:sz w:val="21"/>
                <w:szCs w:val="21"/>
              </w:rPr>
              <w:t>抽查 抽查《火灾</w:t>
            </w:r>
            <w:r>
              <w:rPr>
                <w:rFonts w:hint="eastAsia" w:ascii="宋体" w:hAnsi="宋体" w:eastAsia="宋体" w:cs="宋体"/>
                <w:color w:val="000000" w:themeColor="text1"/>
                <w:sz w:val="21"/>
                <w:szCs w:val="21"/>
              </w:rPr>
              <w:t>管理方案》：管理目标明确，管控措施得当，能满足策划的要求。</w:t>
            </w:r>
          </w:p>
          <w:p>
            <w:pPr>
              <w:keepLines w:val="0"/>
              <w:pageBreakBefore w:val="0"/>
              <w:kinsoku/>
              <w:wordWrap/>
              <w:overflowPunct/>
              <w:topLinePunct w:val="0"/>
              <w:bidi w:val="0"/>
              <w:spacing w:line="24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管理方案由责任部门组织实施，目前已完成。</w:t>
            </w:r>
          </w:p>
        </w:tc>
        <w:tc>
          <w:tcPr>
            <w:tcW w:w="577" w:type="dxa"/>
            <w:vAlign w:val="top"/>
          </w:tcPr>
          <w:p>
            <w:pPr>
              <w:keepLines w:val="0"/>
              <w:pageBreakBefore w:val="0"/>
              <w:kinsoku/>
              <w:wordWrap/>
              <w:overflowPunct/>
              <w:topLinePunct w:val="0"/>
              <w:bidi w:val="0"/>
              <w:spacing w:line="24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7" w:hRule="atLeast"/>
        </w:trPr>
        <w:tc>
          <w:tcPr>
            <w:tcW w:w="1956" w:type="dxa"/>
            <w:vAlign w:val="top"/>
          </w:tcPr>
          <w:p>
            <w:pPr>
              <w:keepLines w:val="0"/>
              <w:pageBreakBefore w:val="0"/>
              <w:kinsoku/>
              <w:wordWrap/>
              <w:overflowPunct/>
              <w:topLinePunct w:val="0"/>
              <w:bidi w:val="0"/>
              <w:spacing w:line="24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环境因素的辨识与评价/危险源的辨识与评价</w:t>
            </w:r>
          </w:p>
        </w:tc>
        <w:tc>
          <w:tcPr>
            <w:tcW w:w="1164" w:type="dxa"/>
            <w:vAlign w:val="top"/>
          </w:tcPr>
          <w:p>
            <w:pPr>
              <w:pStyle w:val="16"/>
              <w:keepLines w:val="0"/>
              <w:pageBreakBefore w:val="0"/>
              <w:kinsoku/>
              <w:wordWrap/>
              <w:overflowPunct/>
              <w:topLinePunct w:val="0"/>
              <w:bidi w:val="0"/>
              <w:spacing w:before="0" w:after="0" w:line="240" w:lineRule="auto"/>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sz w:val="21"/>
                <w:szCs w:val="21"/>
              </w:rPr>
              <w:t>EO6.1.2</w:t>
            </w:r>
          </w:p>
        </w:tc>
        <w:tc>
          <w:tcPr>
            <w:tcW w:w="11012" w:type="dxa"/>
            <w:vAlign w:val="top"/>
          </w:tcPr>
          <w:p>
            <w:pPr>
              <w:keepLines w:val="0"/>
              <w:pageBreakBefore w:val="0"/>
              <w:kinsoku/>
              <w:wordWrap/>
              <w:overflowPunct/>
              <w:topLinePunct w:val="0"/>
              <w:bidi w:val="0"/>
              <w:snapToGrid w:val="0"/>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查有：《环境因素识别及评价控制程序》、《危险源辨识、风险评价和控制措施的控制程序》,行政部按照办公过程和采购服务过程、销售服务过程对环境因素、危险源进行了辨识，辨识时考虑了三种时态：过去、现在和将来，和三种状态：正常、异常和紧急。</w:t>
            </w:r>
          </w:p>
          <w:p>
            <w:pPr>
              <w:keepLines w:val="0"/>
              <w:pageBreakBefore w:val="0"/>
              <w:kinsoku/>
              <w:wordWrap/>
              <w:overflowPunct/>
              <w:topLinePunct w:val="0"/>
              <w:bidi w:val="0"/>
              <w:snapToGrid w:val="0"/>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行政部作为公司环境和职业健康安全管理体系的推进部门，主要负责识别评价相关的环境因素和危险源，询问识别：根据各部门识别及办公、供应、销售、检验过程环节识别，由行政部汇总。</w:t>
            </w:r>
          </w:p>
          <w:p>
            <w:pPr>
              <w:keepLines w:val="0"/>
              <w:pageBreakBefore w:val="0"/>
              <w:kinsoku/>
              <w:wordWrap/>
              <w:overflowPunct/>
              <w:topLinePunct w:val="0"/>
              <w:bidi w:val="0"/>
              <w:snapToGrid w:val="0"/>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查到《环境因素识别评价表》，考虑了供方、客户等可施加影响的环境因素，能考虑到产品生命周期观点，考虑了教学仪器、实验室设备、音体美器材、课桌椅、办公家具、办公用品、窗帘、环保设备、多媒体设备、厨房设备、科技馆设备、电子琴、秒表、舞台设备销售的特点。组织对销售服务提供的有预期和非预期的更改进行必要的环境因素评审和制订控制措施，以确保持续地符合法规要求，暂无更改。</w:t>
            </w:r>
          </w:p>
          <w:p>
            <w:pPr>
              <w:pStyle w:val="4"/>
              <w:keepLines w:val="0"/>
              <w:pageBreakBefore w:val="0"/>
              <w:tabs>
                <w:tab w:val="left" w:pos="3510"/>
                <w:tab w:val="left" w:pos="3585"/>
                <w:tab w:val="center" w:pos="4410"/>
                <w:tab w:val="left" w:pos="4620"/>
                <w:tab w:val="left" w:pos="4830"/>
                <w:tab w:val="left" w:pos="5580"/>
              </w:tabs>
              <w:kinsoku/>
              <w:wordWrap/>
              <w:overflowPunct/>
              <w:topLinePunct w:val="0"/>
              <w:bidi w:val="0"/>
              <w:spacing w:line="240" w:lineRule="auto"/>
              <w:ind w:firstLine="420" w:firstLineChars="200"/>
              <w:jc w:val="both"/>
              <w:rPr>
                <w:rFonts w:hint="eastAsia" w:ascii="宋体" w:hAnsi="宋体" w:eastAsia="宋体" w:cs="宋体"/>
                <w:b w:val="0"/>
                <w:bCs w:val="0"/>
                <w:sz w:val="21"/>
                <w:szCs w:val="21"/>
              </w:rPr>
            </w:pPr>
            <w:r>
              <w:rPr>
                <w:rFonts w:hint="eastAsia" w:ascii="宋体" w:hAnsi="宋体" w:eastAsia="宋体" w:cs="宋体"/>
                <w:b w:val="0"/>
                <w:bCs w:val="0"/>
                <w:sz w:val="21"/>
                <w:szCs w:val="21"/>
              </w:rPr>
              <w:t>行政部的环境因素主要有：电脑使用电的消耗，打印机噪声污染、打印机废色带处理，卫生间废水排放，废纸消耗，口罩及消毒液消耗，意外火灾。</w:t>
            </w:r>
          </w:p>
          <w:p>
            <w:pPr>
              <w:keepLines w:val="0"/>
              <w:pageBreakBefore w:val="0"/>
              <w:kinsoku/>
              <w:wordWrap/>
              <w:overflowPunct/>
              <w:topLinePunct w:val="0"/>
              <w:bidi w:val="0"/>
              <w:snapToGrid w:val="0"/>
              <w:spacing w:line="240" w:lineRule="auto"/>
              <w:rPr>
                <w:rFonts w:hint="eastAsia" w:ascii="宋体" w:hAnsi="宋体" w:eastAsia="宋体" w:cs="宋体"/>
                <w:sz w:val="21"/>
                <w:szCs w:val="21"/>
              </w:rPr>
            </w:pPr>
            <w:r>
              <w:rPr>
                <w:rFonts w:hint="eastAsia" w:ascii="宋体" w:hAnsi="宋体" w:eastAsia="宋体" w:cs="宋体"/>
                <w:sz w:val="21"/>
                <w:szCs w:val="21"/>
              </w:rPr>
              <w:t xml:space="preserve">    提供了《重要环境因素清单》，识别的重要环境因素有固体废弃物排放、火灾，识别基本充分</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无变化</w:t>
            </w:r>
            <w:r>
              <w:rPr>
                <w:rFonts w:hint="eastAsia" w:ascii="宋体" w:hAnsi="宋体" w:eastAsia="宋体" w:cs="宋体"/>
                <w:sz w:val="21"/>
                <w:szCs w:val="21"/>
              </w:rPr>
              <w:t>。</w:t>
            </w:r>
          </w:p>
          <w:p>
            <w:pPr>
              <w:keepLines w:val="0"/>
              <w:pageBreakBefore w:val="0"/>
              <w:kinsoku/>
              <w:wordWrap/>
              <w:overflowPunct/>
              <w:topLinePunct w:val="0"/>
              <w:bidi w:val="0"/>
              <w:snapToGrid w:val="0"/>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查“危险源辩识风险评价及风险控制策划表”，识别了办公活动、销售活动、外出等过程的危险源，如开会多人吸烟，长期从事微机作业，楼梯湿滑不小心摔伤，电源开关、插座等有漏电现象，楼内无消防器材，外来人员防护不当，疫情防护不当，违规驾驶车辆，产品装卸车发生意外等等危险源。</w:t>
            </w:r>
          </w:p>
          <w:p>
            <w:pPr>
              <w:pStyle w:val="4"/>
              <w:keepLines w:val="0"/>
              <w:pageBreakBefore w:val="0"/>
              <w:tabs>
                <w:tab w:val="left" w:pos="3510"/>
                <w:tab w:val="left" w:pos="3585"/>
                <w:tab w:val="center" w:pos="4410"/>
                <w:tab w:val="left" w:pos="4620"/>
                <w:tab w:val="left" w:pos="4830"/>
                <w:tab w:val="left" w:pos="5580"/>
              </w:tabs>
              <w:kinsoku/>
              <w:wordWrap/>
              <w:overflowPunct/>
              <w:topLinePunct w:val="0"/>
              <w:bidi w:val="0"/>
              <w:spacing w:line="240" w:lineRule="auto"/>
              <w:ind w:firstLine="420" w:firstLineChars="200"/>
              <w:jc w:val="both"/>
              <w:rPr>
                <w:rFonts w:hint="eastAsia" w:ascii="宋体" w:hAnsi="宋体" w:eastAsia="宋体" w:cs="宋体"/>
                <w:b w:val="0"/>
                <w:bCs w:val="0"/>
                <w:sz w:val="21"/>
                <w:szCs w:val="21"/>
              </w:rPr>
            </w:pPr>
            <w:r>
              <w:rPr>
                <w:rFonts w:hint="eastAsia" w:ascii="宋体" w:hAnsi="宋体" w:eastAsia="宋体" w:cs="宋体"/>
                <w:b w:val="0"/>
                <w:bCs w:val="0"/>
                <w:sz w:val="21"/>
                <w:szCs w:val="21"/>
              </w:rPr>
              <w:t>组织对生产和服务提供的有预期和非预期的更改进行必要的危险源评审和制订控制措施，以确保持续地符合法规要求，暂无更改。</w:t>
            </w:r>
          </w:p>
          <w:p>
            <w:pPr>
              <w:keepLines w:val="0"/>
              <w:pageBreakBefore w:val="0"/>
              <w:kinsoku/>
              <w:wordWrap/>
              <w:overflowPunct/>
              <w:topLinePunct w:val="0"/>
              <w:bidi w:val="0"/>
              <w:snapToGrid w:val="0"/>
              <w:spacing w:line="240" w:lineRule="auto"/>
              <w:ind w:firstLine="630" w:firstLineChars="300"/>
              <w:rPr>
                <w:rFonts w:hint="eastAsia" w:ascii="宋体" w:hAnsi="宋体" w:eastAsia="宋体" w:cs="宋体"/>
                <w:sz w:val="21"/>
                <w:szCs w:val="21"/>
              </w:rPr>
            </w:pPr>
            <w:r>
              <w:rPr>
                <w:rFonts w:hint="eastAsia" w:ascii="宋体" w:hAnsi="宋体" w:eastAsia="宋体" w:cs="宋体"/>
                <w:sz w:val="21"/>
                <w:szCs w:val="21"/>
              </w:rPr>
              <w:t>提供了《重大危险源清单》</w:t>
            </w:r>
          </w:p>
          <w:p>
            <w:pPr>
              <w:pStyle w:val="4"/>
              <w:keepLines w:val="0"/>
              <w:pageBreakBefore w:val="0"/>
              <w:tabs>
                <w:tab w:val="left" w:pos="3510"/>
                <w:tab w:val="left" w:pos="3585"/>
                <w:tab w:val="center" w:pos="4410"/>
                <w:tab w:val="left" w:pos="4620"/>
                <w:tab w:val="left" w:pos="4830"/>
                <w:tab w:val="left" w:pos="5580"/>
              </w:tabs>
              <w:kinsoku/>
              <w:wordWrap/>
              <w:overflowPunct/>
              <w:topLinePunct w:val="0"/>
              <w:bidi w:val="0"/>
              <w:spacing w:line="240" w:lineRule="auto"/>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行政部涉及的重大危险源为：火灾、触电、与去年相同。</w:t>
            </w:r>
          </w:p>
          <w:p>
            <w:pPr>
              <w:keepLines w:val="0"/>
              <w:pageBreakBefore w:val="0"/>
              <w:kinsoku/>
              <w:wordWrap/>
              <w:overflowPunct/>
              <w:topLinePunct w:val="0"/>
              <w:bidi w:val="0"/>
              <w:snapToGrid w:val="0"/>
              <w:spacing w:line="240" w:lineRule="auto"/>
              <w:rPr>
                <w:rFonts w:hint="eastAsia" w:ascii="宋体" w:hAnsi="宋体" w:eastAsia="宋体" w:cs="宋体"/>
                <w:sz w:val="21"/>
                <w:szCs w:val="21"/>
              </w:rPr>
            </w:pPr>
            <w:r>
              <w:rPr>
                <w:rFonts w:hint="eastAsia" w:ascii="宋体" w:hAnsi="宋体" w:eastAsia="宋体" w:cs="宋体"/>
                <w:sz w:val="21"/>
                <w:szCs w:val="21"/>
              </w:rPr>
              <w:t>控制措施：危险源控制执行管理方案、配备消防器材、个体防护、日常检查、培训教育、应急预案等运行控制措施。</w:t>
            </w:r>
          </w:p>
          <w:p>
            <w:pPr>
              <w:keepLines w:val="0"/>
              <w:pageBreakBefore w:val="0"/>
              <w:kinsoku/>
              <w:wordWrap/>
              <w:overflowPunct/>
              <w:topLinePunct w:val="0"/>
              <w:bidi w:val="0"/>
              <w:snapToGrid w:val="0"/>
              <w:spacing w:line="24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部门识别和评价基本充分，符合规定要求。</w:t>
            </w:r>
          </w:p>
        </w:tc>
        <w:tc>
          <w:tcPr>
            <w:tcW w:w="577" w:type="dxa"/>
            <w:vAlign w:val="top"/>
          </w:tcPr>
          <w:p>
            <w:pPr>
              <w:keepLines w:val="0"/>
              <w:pageBreakBefore w:val="0"/>
              <w:kinsoku/>
              <w:wordWrap/>
              <w:overflowPunct/>
              <w:topLinePunct w:val="0"/>
              <w:bidi w:val="0"/>
              <w:spacing w:line="24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1" w:hRule="atLeast"/>
        </w:trPr>
        <w:tc>
          <w:tcPr>
            <w:tcW w:w="1956" w:type="dxa"/>
            <w:vAlign w:val="top"/>
          </w:tcPr>
          <w:p>
            <w:pPr>
              <w:keepLines w:val="0"/>
              <w:pageBreakBefore w:val="0"/>
              <w:kinsoku/>
              <w:wordWrap/>
              <w:overflowPunct/>
              <w:topLinePunct w:val="0"/>
              <w:bidi w:val="0"/>
              <w:spacing w:line="24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合规义务</w:t>
            </w:r>
          </w:p>
        </w:tc>
        <w:tc>
          <w:tcPr>
            <w:tcW w:w="1164" w:type="dxa"/>
            <w:vAlign w:val="top"/>
          </w:tcPr>
          <w:p>
            <w:pPr>
              <w:pStyle w:val="16"/>
              <w:keepLines w:val="0"/>
              <w:pageBreakBefore w:val="0"/>
              <w:kinsoku/>
              <w:wordWrap/>
              <w:overflowPunct/>
              <w:topLinePunct w:val="0"/>
              <w:bidi w:val="0"/>
              <w:spacing w:before="0" w:after="0" w:line="240" w:lineRule="auto"/>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sz w:val="21"/>
                <w:szCs w:val="21"/>
              </w:rPr>
              <w:t>E</w:t>
            </w:r>
            <w:r>
              <w:rPr>
                <w:rFonts w:hint="eastAsia" w:ascii="宋体" w:hAnsi="宋体" w:eastAsia="宋体" w:cs="宋体"/>
                <w:bCs w:val="0"/>
                <w:spacing w:val="0"/>
                <w:sz w:val="21"/>
                <w:szCs w:val="21"/>
                <w:lang w:val="en-US" w:eastAsia="zh-CN"/>
              </w:rPr>
              <w:t>O</w:t>
            </w:r>
            <w:r>
              <w:rPr>
                <w:rFonts w:hint="eastAsia" w:ascii="宋体" w:hAnsi="宋体" w:eastAsia="宋体" w:cs="宋体"/>
                <w:bCs w:val="0"/>
                <w:spacing w:val="0"/>
                <w:sz w:val="21"/>
                <w:szCs w:val="21"/>
              </w:rPr>
              <w:t>6.1.3</w:t>
            </w:r>
          </w:p>
        </w:tc>
        <w:tc>
          <w:tcPr>
            <w:tcW w:w="11012" w:type="dxa"/>
            <w:vAlign w:val="top"/>
          </w:tcPr>
          <w:p>
            <w:pPr>
              <w:keepLines w:val="0"/>
              <w:pageBreakBefore w:val="0"/>
              <w:tabs>
                <w:tab w:val="left" w:pos="6597"/>
              </w:tabs>
              <w:kinsoku/>
              <w:wordWrap/>
              <w:overflowPunct/>
              <w:topLinePunct w:val="0"/>
              <w:bidi w:val="0"/>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建立实施了《法律法规管理及合规性评价程序》。</w:t>
            </w:r>
          </w:p>
          <w:p>
            <w:pPr>
              <w:keepLines w:val="0"/>
              <w:pageBreakBefore w:val="0"/>
              <w:tabs>
                <w:tab w:val="left" w:pos="6597"/>
              </w:tabs>
              <w:kinsoku/>
              <w:wordWrap/>
              <w:overflowPunct/>
              <w:topLinePunct w:val="0"/>
              <w:bidi w:val="0"/>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查《环境</w:t>
            </w:r>
            <w:r>
              <w:rPr>
                <w:rFonts w:hint="eastAsia" w:ascii="宋体" w:hAnsi="宋体" w:eastAsia="宋体" w:cs="宋体"/>
                <w:sz w:val="21"/>
                <w:szCs w:val="21"/>
                <w:lang w:val="en-US" w:eastAsia="zh-CN"/>
              </w:rPr>
              <w:t>安全</w:t>
            </w:r>
            <w:r>
              <w:rPr>
                <w:rFonts w:hint="eastAsia" w:ascii="宋体" w:hAnsi="宋体" w:eastAsia="宋体" w:cs="宋体"/>
                <w:sz w:val="21"/>
                <w:szCs w:val="21"/>
              </w:rPr>
              <w:t>法律法规清单》，识别了相关环境</w:t>
            </w:r>
            <w:r>
              <w:rPr>
                <w:rFonts w:hint="eastAsia" w:ascii="宋体" w:hAnsi="宋体" w:eastAsia="宋体" w:cs="宋体"/>
                <w:sz w:val="21"/>
                <w:szCs w:val="21"/>
                <w:lang w:val="en-US" w:eastAsia="zh-CN"/>
              </w:rPr>
              <w:t>安全</w:t>
            </w:r>
            <w:r>
              <w:rPr>
                <w:rFonts w:hint="eastAsia" w:ascii="宋体" w:hAnsi="宋体" w:eastAsia="宋体" w:cs="宋体"/>
                <w:sz w:val="21"/>
                <w:szCs w:val="21"/>
              </w:rPr>
              <w:t>法律法规。</w:t>
            </w:r>
          </w:p>
          <w:p>
            <w:pPr>
              <w:keepLines w:val="0"/>
              <w:pageBreakBefore w:val="0"/>
              <w:kinsoku/>
              <w:wordWrap/>
              <w:overflowPunct/>
              <w:topLinePunct w:val="0"/>
              <w:bidi w:val="0"/>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其中包括：最新版的《中华人民共和国环境保护法》、《中华人民共和国固体废物污染环境防治法》、《城市生活垃圾管理办法》、《</w:t>
            </w:r>
            <w:r>
              <w:rPr>
                <w:rStyle w:val="19"/>
                <w:rFonts w:hint="eastAsia" w:ascii="宋体" w:hAnsi="宋体" w:eastAsia="宋体" w:cs="宋体"/>
                <w:sz w:val="21"/>
                <w:szCs w:val="21"/>
              </w:rPr>
              <w:t>中华人民共和国消防法》、《中华人民共和国节约能源法》、《机关、团体、企业、事业单位消防安全管理规定</w:t>
            </w:r>
            <w:r>
              <w:rPr>
                <w:rFonts w:hint="eastAsia" w:ascii="宋体" w:hAnsi="宋体" w:eastAsia="宋体" w:cs="宋体"/>
                <w:sz w:val="21"/>
                <w:szCs w:val="21"/>
              </w:rPr>
              <w:t>》</w:t>
            </w:r>
            <w:r>
              <w:rPr>
                <w:rFonts w:hint="eastAsia" w:ascii="宋体" w:hAnsi="宋体" w:eastAsia="宋体" w:cs="宋体"/>
                <w:sz w:val="21"/>
                <w:szCs w:val="21"/>
                <w:lang w:eastAsia="zh-CN"/>
              </w:rPr>
              <w:t>《中华人民共和国安全生产法》</w:t>
            </w:r>
            <w:r>
              <w:rPr>
                <w:rFonts w:hint="eastAsia" w:ascii="宋体" w:hAnsi="宋体" w:eastAsia="宋体" w:cs="宋体"/>
                <w:sz w:val="21"/>
                <w:szCs w:val="21"/>
              </w:rPr>
              <w:t>等。已识别法律法规及其它要求的适用条款，能与环境因素相对应。</w:t>
            </w:r>
          </w:p>
          <w:p>
            <w:pPr>
              <w:pStyle w:val="6"/>
              <w:keepLines w:val="0"/>
              <w:pageBreakBefore w:val="0"/>
              <w:widowControl/>
              <w:kinsoku/>
              <w:wordWrap/>
              <w:overflowPunct/>
              <w:topLinePunct w:val="0"/>
              <w:bidi w:val="0"/>
              <w:spacing w:line="240" w:lineRule="auto"/>
              <w:ind w:firstLine="420" w:firstLineChars="200"/>
              <w:jc w:val="left"/>
              <w:rPr>
                <w:rFonts w:hint="eastAsia" w:ascii="宋体" w:hAnsi="宋体" w:eastAsia="宋体" w:cs="宋体"/>
                <w:color w:val="000000" w:themeColor="text1"/>
                <w:kern w:val="2"/>
                <w:sz w:val="21"/>
                <w:szCs w:val="21"/>
                <w:lang w:val="en-US" w:eastAsia="zh-CN" w:bidi="ar-SA"/>
              </w:rPr>
            </w:pPr>
            <w:r>
              <w:rPr>
                <w:rFonts w:hint="eastAsia" w:ascii="宋体" w:hAnsi="宋体" w:eastAsia="宋体" w:cs="宋体"/>
                <w:sz w:val="21"/>
                <w:szCs w:val="21"/>
              </w:rPr>
              <w:t>行政部、销售部根据需要随时网上获取、识别更新，并通过培训、宣传、会议等形式传达给员工和相关方，各部门如有需要随时到行政部查阅。</w:t>
            </w:r>
          </w:p>
        </w:tc>
        <w:tc>
          <w:tcPr>
            <w:tcW w:w="577" w:type="dxa"/>
            <w:vAlign w:val="top"/>
          </w:tcPr>
          <w:p>
            <w:pPr>
              <w:keepLines w:val="0"/>
              <w:pageBreakBefore w:val="0"/>
              <w:kinsoku/>
              <w:wordWrap/>
              <w:overflowPunct/>
              <w:topLinePunct w:val="0"/>
              <w:bidi w:val="0"/>
              <w:spacing w:line="24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5" w:hRule="atLeast"/>
        </w:trPr>
        <w:tc>
          <w:tcPr>
            <w:tcW w:w="1956" w:type="dxa"/>
            <w:vAlign w:val="top"/>
          </w:tcPr>
          <w:p>
            <w:pPr>
              <w:keepLines w:val="0"/>
              <w:pageBreakBefore w:val="0"/>
              <w:kinsoku/>
              <w:wordWrap/>
              <w:overflowPunct/>
              <w:topLinePunct w:val="0"/>
              <w:bidi w:val="0"/>
              <w:spacing w:line="240" w:lineRule="auto"/>
              <w:rPr>
                <w:rFonts w:hint="eastAsia" w:ascii="宋体" w:hAnsi="宋体" w:eastAsia="宋体" w:cs="宋体"/>
                <w:sz w:val="21"/>
                <w:szCs w:val="21"/>
              </w:rPr>
            </w:pPr>
            <w:r>
              <w:rPr>
                <w:rFonts w:hint="eastAsia" w:ascii="宋体" w:hAnsi="宋体" w:eastAsia="宋体" w:cs="宋体"/>
                <w:sz w:val="21"/>
                <w:szCs w:val="21"/>
              </w:rPr>
              <w:t>运行策划和控制</w:t>
            </w:r>
          </w:p>
          <w:p>
            <w:pPr>
              <w:pStyle w:val="5"/>
              <w:keepLines w:val="0"/>
              <w:pageBreakBefore w:val="0"/>
              <w:kinsoku/>
              <w:wordWrap/>
              <w:overflowPunct/>
              <w:topLinePunct w:val="0"/>
              <w:bidi w:val="0"/>
              <w:spacing w:line="240" w:lineRule="auto"/>
              <w:ind w:left="0" w:leftChars="0" w:firstLine="0" w:firstLineChars="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rPr>
              <w:t>/</w:t>
            </w:r>
            <w:r>
              <w:rPr>
                <w:rFonts w:hint="eastAsia" w:ascii="宋体" w:hAnsi="宋体" w:eastAsia="宋体" w:cs="宋体"/>
                <w:kern w:val="2"/>
                <w:sz w:val="21"/>
                <w:szCs w:val="21"/>
              </w:rPr>
              <w:t>财务支出</w:t>
            </w:r>
          </w:p>
        </w:tc>
        <w:tc>
          <w:tcPr>
            <w:tcW w:w="1164" w:type="dxa"/>
            <w:vAlign w:val="top"/>
          </w:tcPr>
          <w:p>
            <w:pPr>
              <w:pStyle w:val="5"/>
              <w:keepLines w:val="0"/>
              <w:pageBreakBefore w:val="0"/>
              <w:kinsoku/>
              <w:wordWrap/>
              <w:overflowPunct/>
              <w:topLinePunct w:val="0"/>
              <w:bidi w:val="0"/>
              <w:spacing w:line="240" w:lineRule="auto"/>
              <w:ind w:left="0" w:leftChars="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rPr>
              <w:t>E</w:t>
            </w:r>
            <w:r>
              <w:rPr>
                <w:rFonts w:hint="eastAsia" w:ascii="宋体" w:hAnsi="宋体" w:eastAsia="宋体" w:cs="宋体"/>
                <w:kern w:val="2"/>
                <w:sz w:val="21"/>
                <w:szCs w:val="21"/>
                <w:lang w:val="en-US" w:eastAsia="zh-CN"/>
              </w:rPr>
              <w:t>O</w:t>
            </w:r>
            <w:r>
              <w:rPr>
                <w:rFonts w:hint="eastAsia" w:ascii="宋体" w:hAnsi="宋体" w:eastAsia="宋体" w:cs="宋体"/>
                <w:kern w:val="2"/>
                <w:sz w:val="21"/>
                <w:szCs w:val="21"/>
              </w:rPr>
              <w:t>8.1</w:t>
            </w:r>
          </w:p>
        </w:tc>
        <w:tc>
          <w:tcPr>
            <w:tcW w:w="11012" w:type="dxa"/>
            <w:vAlign w:val="top"/>
          </w:tcPr>
          <w:p>
            <w:pPr>
              <w:keepLines w:val="0"/>
              <w:pageBreakBefore w:val="0"/>
              <w:kinsoku/>
              <w:wordWrap/>
              <w:overflowPunct/>
              <w:topLinePunct w:val="0"/>
              <w:bidi w:val="0"/>
              <w:snapToGrid w:val="0"/>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公司制定并实施了《火灾应急响应规范》、《环境管理制度》、《安全消防制度》等与职业健康安全控制程序和管理制度。</w:t>
            </w:r>
          </w:p>
          <w:p>
            <w:pPr>
              <w:keepLines w:val="0"/>
              <w:pageBreakBefore w:val="0"/>
              <w:kinsoku/>
              <w:wordWrap/>
              <w:overflowPunct/>
              <w:topLinePunct w:val="0"/>
              <w:bidi w:val="0"/>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公司办公和销售无工业废水产生，生活废水排入市政污水管道。</w:t>
            </w:r>
          </w:p>
          <w:p>
            <w:pPr>
              <w:keepLines w:val="0"/>
              <w:pageBreakBefore w:val="0"/>
              <w:kinsoku/>
              <w:wordWrap/>
              <w:overflowPunct/>
              <w:topLinePunct w:val="0"/>
              <w:bidi w:val="0"/>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公司办公和销售无废气、无噪声产生。</w:t>
            </w:r>
          </w:p>
          <w:p>
            <w:pPr>
              <w:keepLines w:val="0"/>
              <w:pageBreakBefore w:val="0"/>
              <w:kinsoku/>
              <w:wordWrap/>
              <w:overflowPunct/>
              <w:topLinePunct w:val="0"/>
              <w:bidi w:val="0"/>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行政部垃圾主要包含可回收垃圾、硒鼓、废纸。配置了垃圾筒，行政部统一处理。</w:t>
            </w:r>
          </w:p>
          <w:p>
            <w:pPr>
              <w:keepLines w:val="0"/>
              <w:pageBreakBefore w:val="0"/>
              <w:kinsoku/>
              <w:wordWrap/>
              <w:overflowPunct/>
              <w:topLinePunct w:val="0"/>
              <w:bidi w:val="0"/>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对可回收的固体废弃物，一部分由厂家回收，厂家不回收的公司统一回收再利用或由物资回收公司处理。不可回收的废弃物由公司行政部统一处理，各部门不得单独处理。</w:t>
            </w:r>
          </w:p>
          <w:p>
            <w:pPr>
              <w:keepLines w:val="0"/>
              <w:pageBreakBefore w:val="0"/>
              <w:kinsoku/>
              <w:wordWrap/>
              <w:overflowPunct/>
              <w:topLinePunct w:val="0"/>
              <w:bidi w:val="0"/>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查到“废体废弃物处置统计记录”，记录了日常生活、办公过程中的可回收及不可回收的废弃物的处理情况。</w:t>
            </w:r>
            <w:r>
              <w:rPr>
                <w:rFonts w:hint="eastAsia" w:ascii="宋体" w:hAnsi="宋体" w:eastAsia="宋体" w:cs="宋体"/>
                <w:sz w:val="21"/>
                <w:szCs w:val="21"/>
              </w:rPr>
              <w:drawing>
                <wp:inline distT="0" distB="0" distL="114300" distR="114300">
                  <wp:extent cx="3290570" cy="2270125"/>
                  <wp:effectExtent l="0" t="0" r="1270" b="635"/>
                  <wp:docPr id="1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
                          <pic:cNvPicPr>
                            <a:picLocks noChangeAspect="1"/>
                          </pic:cNvPicPr>
                        </pic:nvPicPr>
                        <pic:blipFill>
                          <a:blip r:embed="rId6"/>
                          <a:stretch>
                            <a:fillRect/>
                          </a:stretch>
                        </pic:blipFill>
                        <pic:spPr>
                          <a:xfrm>
                            <a:off x="0" y="0"/>
                            <a:ext cx="3290570" cy="2270125"/>
                          </a:xfrm>
                          <a:prstGeom prst="rect">
                            <a:avLst/>
                          </a:prstGeom>
                          <a:noFill/>
                          <a:ln>
                            <a:noFill/>
                          </a:ln>
                        </pic:spPr>
                      </pic:pic>
                    </a:graphicData>
                  </a:graphic>
                </wp:inline>
              </w:drawing>
            </w:r>
          </w:p>
          <w:p>
            <w:pPr>
              <w:keepLines w:val="0"/>
              <w:pageBreakBefore w:val="0"/>
              <w:kinsoku/>
              <w:wordWrap/>
              <w:overflowPunct/>
              <w:topLinePunct w:val="0"/>
              <w:bidi w:val="0"/>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行政部定期组织环保和安全知识培训，员工具备了基本的环保和职业健康安全防护意识。</w:t>
            </w:r>
          </w:p>
          <w:p>
            <w:pPr>
              <w:keepLines w:val="0"/>
              <w:pageBreakBefore w:val="0"/>
              <w:kinsoku/>
              <w:wordWrap/>
              <w:overflowPunct/>
              <w:topLinePunct w:val="0"/>
              <w:bidi w:val="0"/>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办公室内主要是电的使用，安装有漏电保护器，现场巡视办公区域电线、电气插座完整，未见隐患。</w:t>
            </w:r>
          </w:p>
          <w:p>
            <w:pPr>
              <w:keepLines w:val="0"/>
              <w:pageBreakBefore w:val="0"/>
              <w:kinsoku/>
              <w:wordWrap/>
              <w:overflowPunct/>
              <w:topLinePunct w:val="0"/>
              <w:bidi w:val="0"/>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办公纸张尽量采取双面打印，人走灯灭，定期检查水管跑冒滴漏。</w:t>
            </w:r>
          </w:p>
          <w:p>
            <w:pPr>
              <w:keepLines w:val="0"/>
              <w:pageBreakBefore w:val="0"/>
              <w:kinsoku/>
              <w:wordWrap/>
              <w:overflowPunct/>
              <w:topLinePunct w:val="0"/>
              <w:bidi w:val="0"/>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为满足环境和职业健康安全体系的运行，公司投入了环保及安全资金，主要是购买垃圾桶、消防、垃圾处理费、劳保用品费、社保等，运行至今支出约</w:t>
            </w:r>
            <w:r>
              <w:rPr>
                <w:rFonts w:hint="eastAsia" w:ascii="宋体" w:hAnsi="宋体" w:eastAsia="宋体" w:cs="宋体"/>
                <w:sz w:val="21"/>
                <w:szCs w:val="21"/>
                <w:lang w:val="en-US" w:eastAsia="zh-CN"/>
              </w:rPr>
              <w:t>6</w:t>
            </w:r>
            <w:r>
              <w:rPr>
                <w:rFonts w:hint="eastAsia" w:ascii="宋体" w:hAnsi="宋体" w:eastAsia="宋体" w:cs="宋体"/>
                <w:sz w:val="21"/>
                <w:szCs w:val="21"/>
              </w:rPr>
              <w:t>万元。</w:t>
            </w:r>
          </w:p>
          <w:p>
            <w:pPr>
              <w:keepLines w:val="0"/>
              <w:pageBreakBefore w:val="0"/>
              <w:tabs>
                <w:tab w:val="center" w:pos="3169"/>
              </w:tabs>
              <w:kinsoku/>
              <w:wordWrap/>
              <w:overflowPunct/>
              <w:topLinePunct w:val="0"/>
              <w:bidi w:val="0"/>
              <w:spacing w:line="24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rPr>
              <w:t>部门运行控制基本符合规定要求。</w:t>
            </w:r>
          </w:p>
        </w:tc>
        <w:tc>
          <w:tcPr>
            <w:tcW w:w="577" w:type="dxa"/>
            <w:vAlign w:val="top"/>
          </w:tcPr>
          <w:p>
            <w:pPr>
              <w:keepLines w:val="0"/>
              <w:pageBreakBefore w:val="0"/>
              <w:kinsoku/>
              <w:wordWrap/>
              <w:overflowPunct/>
              <w:topLinePunct w:val="0"/>
              <w:bidi w:val="0"/>
              <w:spacing w:line="24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56" w:type="dxa"/>
            <w:vAlign w:val="top"/>
          </w:tcPr>
          <w:p>
            <w:pPr>
              <w:pStyle w:val="4"/>
              <w:keepLines w:val="0"/>
              <w:pageBreakBefore w:val="0"/>
              <w:tabs>
                <w:tab w:val="left" w:pos="3510"/>
                <w:tab w:val="left" w:pos="3585"/>
                <w:tab w:val="center" w:pos="4410"/>
                <w:tab w:val="left" w:pos="4620"/>
                <w:tab w:val="left" w:pos="4830"/>
                <w:tab w:val="left" w:pos="5580"/>
              </w:tabs>
              <w:kinsoku/>
              <w:wordWrap/>
              <w:overflowPunct/>
              <w:topLinePunct w:val="0"/>
              <w:bidi w:val="0"/>
              <w:spacing w:line="240" w:lineRule="auto"/>
              <w:ind w:right="48" w:rightChars="0"/>
              <w:rPr>
                <w:rFonts w:hint="eastAsia" w:ascii="宋体" w:hAnsi="宋体" w:eastAsia="宋体" w:cs="宋体"/>
                <w:b w:val="0"/>
                <w:bCs w:val="0"/>
                <w:kern w:val="0"/>
                <w:sz w:val="21"/>
                <w:szCs w:val="21"/>
                <w:lang w:val="en-US" w:eastAsia="zh-CN" w:bidi="ar"/>
              </w:rPr>
            </w:pPr>
            <w:r>
              <w:rPr>
                <w:rFonts w:hint="eastAsia" w:ascii="宋体" w:hAnsi="宋体" w:eastAsia="宋体" w:cs="宋体"/>
                <w:sz w:val="21"/>
                <w:szCs w:val="21"/>
              </w:rPr>
              <w:t>应急准备和响应</w:t>
            </w:r>
          </w:p>
        </w:tc>
        <w:tc>
          <w:tcPr>
            <w:tcW w:w="1164" w:type="dxa"/>
            <w:vAlign w:val="top"/>
          </w:tcPr>
          <w:p>
            <w:pPr>
              <w:pStyle w:val="5"/>
              <w:keepLines w:val="0"/>
              <w:pageBreakBefore w:val="0"/>
              <w:kinsoku/>
              <w:wordWrap/>
              <w:overflowPunct/>
              <w:topLinePunct w:val="0"/>
              <w:bidi w:val="0"/>
              <w:spacing w:line="240" w:lineRule="auto"/>
              <w:ind w:left="0" w:leftChars="0"/>
              <w:rPr>
                <w:rFonts w:hint="eastAsia" w:ascii="宋体" w:hAnsi="宋体" w:eastAsia="宋体" w:cs="宋体"/>
                <w:spacing w:val="-6"/>
                <w:kern w:val="0"/>
                <w:sz w:val="21"/>
                <w:szCs w:val="21"/>
                <w:lang w:val="en-US" w:eastAsia="zh-CN" w:bidi="ar-SA"/>
              </w:rPr>
            </w:pPr>
            <w:r>
              <w:rPr>
                <w:rFonts w:hint="eastAsia" w:ascii="宋体" w:hAnsi="宋体" w:eastAsia="宋体" w:cs="宋体"/>
                <w:b/>
                <w:sz w:val="21"/>
                <w:szCs w:val="21"/>
              </w:rPr>
              <w:t>E</w:t>
            </w:r>
            <w:r>
              <w:rPr>
                <w:rFonts w:hint="eastAsia" w:ascii="宋体" w:hAnsi="宋体" w:eastAsia="宋体" w:cs="宋体"/>
                <w:b/>
                <w:sz w:val="21"/>
                <w:szCs w:val="21"/>
                <w:lang w:val="en-US" w:eastAsia="zh-CN"/>
              </w:rPr>
              <w:t>O</w:t>
            </w:r>
            <w:r>
              <w:rPr>
                <w:rFonts w:hint="eastAsia" w:ascii="宋体" w:hAnsi="宋体" w:eastAsia="宋体" w:cs="宋体"/>
                <w:b/>
                <w:sz w:val="21"/>
                <w:szCs w:val="21"/>
              </w:rPr>
              <w:t>8.2</w:t>
            </w:r>
          </w:p>
        </w:tc>
        <w:tc>
          <w:tcPr>
            <w:tcW w:w="11012" w:type="dxa"/>
            <w:vAlign w:val="top"/>
          </w:tcPr>
          <w:p>
            <w:pPr>
              <w:keepLines w:val="0"/>
              <w:pageBreakBefore w:val="0"/>
              <w:kinsoku/>
              <w:wordWrap/>
              <w:overflowPunct/>
              <w:topLinePunct w:val="0"/>
              <w:bidi w:val="0"/>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编制了《应急准备和响应控制程序》，确定的紧急情况有：火灾、触电，提供了紧急情况的《应急预案》。</w:t>
            </w:r>
          </w:p>
          <w:p>
            <w:pPr>
              <w:keepLines w:val="0"/>
              <w:pageBreakBefore w:val="0"/>
              <w:kinsoku/>
              <w:wordWrap/>
              <w:overflowPunct/>
              <w:topLinePunct w:val="0"/>
              <w:bidi w:val="0"/>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现场查看办公区域内有配备消防设施。</w:t>
            </w:r>
          </w:p>
          <w:p>
            <w:pPr>
              <w:keepLines w:val="0"/>
              <w:pageBreakBefore w:val="0"/>
              <w:kinsoku/>
              <w:wordWrap/>
              <w:overflowPunct/>
              <w:topLinePunct w:val="0"/>
              <w:bidi w:val="0"/>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查202</w:t>
            </w:r>
            <w:r>
              <w:rPr>
                <w:rFonts w:hint="eastAsia" w:ascii="宋体" w:hAnsi="宋体" w:eastAsia="宋体" w:cs="宋体"/>
                <w:sz w:val="21"/>
                <w:szCs w:val="21"/>
                <w:lang w:val="en-US" w:eastAsia="zh-CN"/>
              </w:rPr>
              <w:t>2.4.16</w:t>
            </w:r>
            <w:r>
              <w:rPr>
                <w:rFonts w:hint="eastAsia" w:ascii="宋体" w:hAnsi="宋体" w:eastAsia="宋体" w:cs="宋体"/>
                <w:sz w:val="21"/>
                <w:szCs w:val="21"/>
              </w:rPr>
              <w:t>日进行的“应急预案演练记录表”，包括预案名称：消防应急预案；组织部门：行政部；</w:t>
            </w:r>
            <w:r>
              <w:rPr>
                <w:rFonts w:hint="eastAsia" w:ascii="宋体" w:hAnsi="宋体" w:eastAsia="宋体" w:cs="宋体"/>
                <w:sz w:val="21"/>
                <w:szCs w:val="21"/>
                <w:lang w:val="en-US" w:eastAsia="zh-CN"/>
              </w:rPr>
              <w:t>参与人员</w:t>
            </w:r>
            <w:r>
              <w:rPr>
                <w:rFonts w:hint="eastAsia" w:ascii="宋体" w:hAnsi="宋体" w:eastAsia="宋体" w:cs="宋体"/>
                <w:sz w:val="21"/>
                <w:szCs w:val="21"/>
              </w:rPr>
              <w:t>：全体员工参加，演练部分：灭火器使用，初期火灾扑灭；另外还记录了物资准备和人员培训情况、现场培训、演练过程描述等内容。演练后对应急预案进行了评审，评审结论：演练后，根据演练情况，认为应急预案与本公司情况基本符合，具有可操作性，暂不用修订。</w:t>
            </w:r>
          </w:p>
          <w:p>
            <w:pPr>
              <w:keepLines w:val="0"/>
              <w:pageBreakBefore w:val="0"/>
              <w:kinsoku/>
              <w:wordWrap/>
              <w:overflowPunct/>
              <w:topLinePunct w:val="0"/>
              <w:bidi w:val="0"/>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针对新冠肺炎疫情公司制定了管理制度</w:t>
            </w:r>
          </w:p>
          <w:p>
            <w:pPr>
              <w:keepLines w:val="0"/>
              <w:pageBreakBefore w:val="0"/>
              <w:kinsoku/>
              <w:wordWrap/>
              <w:overflowPunct/>
              <w:topLinePunct w:val="0"/>
              <w:bidi w:val="0"/>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包括：口罩发放、消杀消毒频次及记录等。</w:t>
            </w:r>
          </w:p>
          <w:p>
            <w:pPr>
              <w:keepLines w:val="0"/>
              <w:pageBreakBefore w:val="0"/>
              <w:tabs>
                <w:tab w:val="center" w:pos="3169"/>
              </w:tabs>
              <w:kinsoku/>
              <w:wordWrap/>
              <w:overflowPunct/>
              <w:topLinePunct w:val="0"/>
              <w:bidi w:val="0"/>
              <w:spacing w:line="240" w:lineRule="auto"/>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自体系运行以来尚未发生紧急情况。</w:t>
            </w:r>
          </w:p>
        </w:tc>
        <w:tc>
          <w:tcPr>
            <w:tcW w:w="577" w:type="dxa"/>
            <w:vAlign w:val="top"/>
          </w:tcPr>
          <w:p>
            <w:pPr>
              <w:keepLines w:val="0"/>
              <w:pageBreakBefore w:val="0"/>
              <w:kinsoku/>
              <w:wordWrap/>
              <w:overflowPunct/>
              <w:topLinePunct w:val="0"/>
              <w:bidi w:val="0"/>
              <w:spacing w:line="24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56" w:type="dxa"/>
            <w:vAlign w:val="center"/>
          </w:tcPr>
          <w:p>
            <w:pPr>
              <w:keepLines w:val="0"/>
              <w:pageBreakBefore w:val="0"/>
              <w:kinsoku/>
              <w:wordWrap/>
              <w:overflowPunct/>
              <w:topLinePunct w:val="0"/>
              <w:bidi w:val="0"/>
              <w:spacing w:line="24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监视、测量、分析和评价</w:t>
            </w:r>
          </w:p>
        </w:tc>
        <w:tc>
          <w:tcPr>
            <w:tcW w:w="1164" w:type="dxa"/>
            <w:vAlign w:val="center"/>
          </w:tcPr>
          <w:p>
            <w:pPr>
              <w:keepLines w:val="0"/>
              <w:pageBreakBefore w:val="0"/>
              <w:tabs>
                <w:tab w:val="left" w:pos="6597"/>
              </w:tabs>
              <w:kinsoku/>
              <w:wordWrap/>
              <w:overflowPunct/>
              <w:topLinePunct w:val="0"/>
              <w:bidi w:val="0"/>
              <w:spacing w:line="24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E</w:t>
            </w:r>
            <w:r>
              <w:rPr>
                <w:rFonts w:hint="eastAsia" w:ascii="宋体" w:hAnsi="宋体" w:eastAsia="宋体" w:cs="宋体"/>
                <w:sz w:val="21"/>
                <w:szCs w:val="21"/>
                <w:lang w:val="en-US" w:eastAsia="zh-CN"/>
              </w:rPr>
              <w:t>O</w:t>
            </w:r>
            <w:r>
              <w:rPr>
                <w:rFonts w:hint="eastAsia" w:ascii="宋体" w:hAnsi="宋体" w:eastAsia="宋体" w:cs="宋体"/>
                <w:sz w:val="21"/>
                <w:szCs w:val="21"/>
              </w:rPr>
              <w:t xml:space="preserve">：9.1.1 </w:t>
            </w:r>
          </w:p>
        </w:tc>
        <w:tc>
          <w:tcPr>
            <w:tcW w:w="11012" w:type="dxa"/>
            <w:vAlign w:val="center"/>
          </w:tcPr>
          <w:p>
            <w:pPr>
              <w:keepLines w:val="0"/>
              <w:pageBreakBefore w:val="0"/>
              <w:kinsoku/>
              <w:wordWrap/>
              <w:overflowPunct/>
              <w:topLinePunct w:val="0"/>
              <w:bidi w:val="0"/>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公司编制《 TJYY/QP-2020-17环境安全监测与测量控制程序》，行政部通过月度巡查考核对各部门进行监控。</w:t>
            </w:r>
          </w:p>
          <w:p>
            <w:pPr>
              <w:keepLines w:val="0"/>
              <w:pageBreakBefore w:val="0"/>
              <w:kinsoku/>
              <w:wordWrap/>
              <w:overflowPunct/>
              <w:topLinePunct w:val="0"/>
              <w:bidi w:val="0"/>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提供“环境绩效检查记录”，检查内容：消防设施、办公室环境管理、固体废弃物管理、节水节电、打印纸使用、办公区域噪音、设备维护，抽查202</w:t>
            </w:r>
            <w:r>
              <w:rPr>
                <w:rFonts w:hint="eastAsia" w:ascii="宋体" w:hAnsi="宋体" w:eastAsia="宋体" w:cs="宋体"/>
                <w:sz w:val="21"/>
                <w:szCs w:val="21"/>
                <w:lang w:val="en-US" w:eastAsia="zh-CN"/>
              </w:rPr>
              <w:t>2.7.28</w:t>
            </w:r>
            <w:r>
              <w:rPr>
                <w:rFonts w:hint="eastAsia" w:ascii="宋体" w:hAnsi="宋体" w:eastAsia="宋体" w:cs="宋体"/>
                <w:sz w:val="21"/>
                <w:szCs w:val="21"/>
              </w:rPr>
              <w:t>日检查结果正常，检查人周建立。</w:t>
            </w:r>
          </w:p>
          <w:p>
            <w:pPr>
              <w:keepLines w:val="0"/>
              <w:pageBreakBefore w:val="0"/>
              <w:kinsoku/>
              <w:wordWrap/>
              <w:overflowPunct/>
              <w:topLinePunct w:val="0"/>
              <w:bidi w:val="0"/>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现场与企业行政部主任衡洪伟交流了解到，日常工作关注员工身体状况，当员工身体不适请假时，及时跟踪了解其健康状况。有职业病前兆后，及时安排员工休息、调岗或改善工作环境，此外</w:t>
            </w:r>
            <w:r>
              <w:rPr>
                <w:rFonts w:hint="eastAsia" w:ascii="宋体" w:hAnsi="宋体" w:eastAsia="宋体" w:cs="宋体"/>
                <w:sz w:val="21"/>
                <w:szCs w:val="21"/>
                <w:lang w:val="en-US" w:eastAsia="zh-CN"/>
              </w:rPr>
              <w:t>行政部负责人</w:t>
            </w:r>
            <w:r>
              <w:rPr>
                <w:rFonts w:hint="eastAsia" w:ascii="宋体" w:hAnsi="宋体" w:eastAsia="宋体" w:cs="宋体"/>
                <w:sz w:val="21"/>
                <w:szCs w:val="21"/>
              </w:rPr>
              <w:t>表示今后将逐步建立、健全员工健康档案资料。</w:t>
            </w:r>
          </w:p>
          <w:p>
            <w:pPr>
              <w:keepLines w:val="0"/>
              <w:pageBreakBefore w:val="0"/>
              <w:widowControl/>
              <w:kinsoku/>
              <w:wordWrap/>
              <w:overflowPunct/>
              <w:topLinePunct w:val="0"/>
              <w:bidi w:val="0"/>
              <w:spacing w:line="240" w:lineRule="auto"/>
              <w:ind w:left="480"/>
              <w:jc w:val="left"/>
              <w:rPr>
                <w:rFonts w:hint="eastAsia" w:ascii="宋体" w:hAnsi="宋体" w:eastAsia="宋体" w:cs="宋体"/>
                <w:sz w:val="21"/>
                <w:szCs w:val="21"/>
              </w:rPr>
            </w:pPr>
            <w:r>
              <w:rPr>
                <w:rFonts w:hint="eastAsia" w:ascii="宋体" w:hAnsi="宋体" w:eastAsia="宋体" w:cs="宋体"/>
                <w:sz w:val="21"/>
                <w:szCs w:val="21"/>
              </w:rPr>
              <w:t>交流确认，公司无安全、环境检测设备。</w:t>
            </w:r>
          </w:p>
          <w:p>
            <w:pPr>
              <w:keepLines w:val="0"/>
              <w:pageBreakBefore w:val="0"/>
              <w:kinsoku/>
              <w:wordWrap/>
              <w:overflowPunct/>
              <w:topLinePunct w:val="0"/>
              <w:bidi w:val="0"/>
              <w:spacing w:line="24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sz w:val="21"/>
                <w:szCs w:val="21"/>
              </w:rPr>
              <w:t>经交流确认，公司从事销售活动，员工不涉及职业病。</w:t>
            </w:r>
          </w:p>
        </w:tc>
        <w:tc>
          <w:tcPr>
            <w:tcW w:w="577" w:type="dxa"/>
            <w:vAlign w:val="top"/>
          </w:tcPr>
          <w:p>
            <w:pPr>
              <w:keepLines w:val="0"/>
              <w:pageBreakBefore w:val="0"/>
              <w:kinsoku/>
              <w:wordWrap/>
              <w:overflowPunct/>
              <w:topLinePunct w:val="0"/>
              <w:bidi w:val="0"/>
              <w:spacing w:line="24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56" w:type="dxa"/>
            <w:vAlign w:val="center"/>
          </w:tcPr>
          <w:p>
            <w:pPr>
              <w:keepLines w:val="0"/>
              <w:pageBreakBefore w:val="0"/>
              <w:kinsoku/>
              <w:wordWrap/>
              <w:overflowPunct/>
              <w:topLinePunct w:val="0"/>
              <w:bidi w:val="0"/>
              <w:spacing w:line="240" w:lineRule="auto"/>
              <w:rPr>
                <w:rFonts w:hint="eastAsia" w:ascii="宋体" w:hAnsi="宋体" w:eastAsia="宋体" w:cs="宋体"/>
                <w:color w:val="000000" w:themeColor="text1"/>
                <w:kern w:val="2"/>
                <w:sz w:val="21"/>
                <w:szCs w:val="21"/>
                <w:lang w:val="en-US" w:eastAsia="zh-CN" w:bidi="ar-SA"/>
              </w:rPr>
            </w:pPr>
            <w:r>
              <w:rPr>
                <w:rFonts w:hint="eastAsia" w:ascii="宋体" w:hAnsi="宋体" w:eastAsia="宋体" w:cs="宋体"/>
                <w:color w:val="000000" w:themeColor="text1"/>
                <w:sz w:val="21"/>
                <w:szCs w:val="21"/>
              </w:rPr>
              <w:t>合规性评价</w:t>
            </w:r>
          </w:p>
        </w:tc>
        <w:tc>
          <w:tcPr>
            <w:tcW w:w="1164" w:type="dxa"/>
            <w:vAlign w:val="center"/>
          </w:tcPr>
          <w:p>
            <w:pPr>
              <w:keepLines w:val="0"/>
              <w:pageBreakBefore w:val="0"/>
              <w:kinsoku/>
              <w:wordWrap/>
              <w:overflowPunct/>
              <w:topLinePunct w:val="0"/>
              <w:bidi w:val="0"/>
              <w:spacing w:line="240" w:lineRule="auto"/>
              <w:rPr>
                <w:rFonts w:hint="eastAsia" w:ascii="宋体" w:hAnsi="宋体" w:eastAsia="宋体" w:cs="宋体"/>
                <w:color w:val="000000" w:themeColor="text1"/>
                <w:kern w:val="2"/>
                <w:sz w:val="21"/>
                <w:szCs w:val="21"/>
                <w:lang w:val="en-US" w:eastAsia="zh-CN" w:bidi="ar-SA"/>
              </w:rPr>
            </w:pPr>
            <w:r>
              <w:rPr>
                <w:rFonts w:hint="eastAsia" w:ascii="宋体" w:hAnsi="宋体" w:eastAsia="宋体" w:cs="宋体"/>
                <w:color w:val="000000" w:themeColor="text1"/>
                <w:sz w:val="21"/>
                <w:szCs w:val="21"/>
              </w:rPr>
              <w:t>E</w:t>
            </w:r>
            <w:r>
              <w:rPr>
                <w:rFonts w:hint="eastAsia" w:ascii="宋体" w:hAnsi="宋体" w:eastAsia="宋体" w:cs="宋体"/>
                <w:color w:val="000000" w:themeColor="text1"/>
                <w:sz w:val="21"/>
                <w:szCs w:val="21"/>
                <w:lang w:val="en-US" w:eastAsia="zh-CN"/>
              </w:rPr>
              <w:t>O</w:t>
            </w:r>
            <w:r>
              <w:rPr>
                <w:rFonts w:hint="eastAsia" w:ascii="宋体" w:hAnsi="宋体" w:eastAsia="宋体" w:cs="宋体"/>
                <w:color w:val="000000" w:themeColor="text1"/>
                <w:sz w:val="21"/>
                <w:szCs w:val="21"/>
              </w:rPr>
              <w:t xml:space="preserve">:9.1.2 </w:t>
            </w:r>
          </w:p>
        </w:tc>
        <w:tc>
          <w:tcPr>
            <w:tcW w:w="11012" w:type="dxa"/>
            <w:vAlign w:val="center"/>
          </w:tcPr>
          <w:p>
            <w:pPr>
              <w:keepLines w:val="0"/>
              <w:pageBreakBefore w:val="0"/>
              <w:kinsoku/>
              <w:wordWrap/>
              <w:overflowPunct/>
              <w:topLinePunct w:val="0"/>
              <w:bidi w:val="0"/>
              <w:spacing w:line="240" w:lineRule="auto"/>
              <w:ind w:firstLine="420" w:firstLineChars="200"/>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公司制定了：《TJYY/QP-2020-18法律法规管理及合规性评价程序》，</w:t>
            </w:r>
          </w:p>
          <w:p>
            <w:pPr>
              <w:keepLines w:val="0"/>
              <w:pageBreakBefore w:val="0"/>
              <w:kinsoku/>
              <w:wordWrap/>
              <w:overflowPunct/>
              <w:topLinePunct w:val="0"/>
              <w:bidi w:val="0"/>
              <w:spacing w:line="240" w:lineRule="auto"/>
              <w:ind w:firstLine="420" w:firstLineChars="200"/>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查“环境合规性评价”，对公司适用的环保法律法规和其他要求进行了评价，结论：全部符合要求。</w:t>
            </w:r>
          </w:p>
          <w:p>
            <w:pPr>
              <w:keepLines w:val="0"/>
              <w:pageBreakBefore w:val="0"/>
              <w:kinsoku/>
              <w:wordWrap/>
              <w:overflowPunct/>
              <w:topLinePunct w:val="0"/>
              <w:bidi w:val="0"/>
              <w:spacing w:line="240" w:lineRule="auto"/>
              <w:ind w:firstLine="420" w:firstLineChars="200"/>
              <w:rPr>
                <w:rFonts w:hint="eastAsia" w:ascii="宋体" w:hAnsi="宋体" w:eastAsia="宋体" w:cs="宋体"/>
                <w:color w:val="000000" w:themeColor="text1"/>
                <w:kern w:val="2"/>
                <w:sz w:val="21"/>
                <w:szCs w:val="21"/>
                <w:lang w:val="en-US" w:eastAsia="zh-CN" w:bidi="ar-SA"/>
              </w:rPr>
            </w:pPr>
            <w:r>
              <w:rPr>
                <w:rFonts w:hint="eastAsia" w:ascii="宋体" w:hAnsi="宋体" w:eastAsia="宋体" w:cs="宋体"/>
                <w:color w:val="000000" w:themeColor="text1"/>
                <w:sz w:val="21"/>
                <w:szCs w:val="21"/>
              </w:rPr>
              <w:t>以上评价人：衡洪伟、周建立、郝妍，批准郝妍，日期：202</w:t>
            </w:r>
            <w:r>
              <w:rPr>
                <w:rFonts w:hint="eastAsia" w:ascii="宋体" w:hAnsi="宋体" w:eastAsia="宋体" w:cs="宋体"/>
                <w:color w:val="000000" w:themeColor="text1"/>
                <w:sz w:val="21"/>
                <w:szCs w:val="21"/>
                <w:lang w:val="en-US" w:eastAsia="zh-CN"/>
              </w:rPr>
              <w:t>2</w:t>
            </w:r>
            <w:r>
              <w:rPr>
                <w:rFonts w:hint="eastAsia" w:ascii="宋体" w:hAnsi="宋体" w:eastAsia="宋体" w:cs="宋体"/>
                <w:color w:val="000000" w:themeColor="text1"/>
                <w:sz w:val="21"/>
                <w:szCs w:val="21"/>
              </w:rPr>
              <w:t>年3月</w:t>
            </w:r>
            <w:r>
              <w:rPr>
                <w:rFonts w:hint="eastAsia" w:ascii="宋体" w:hAnsi="宋体" w:eastAsia="宋体" w:cs="宋体"/>
                <w:color w:val="000000" w:themeColor="text1"/>
                <w:sz w:val="21"/>
                <w:szCs w:val="21"/>
                <w:lang w:val="en-US" w:eastAsia="zh-CN"/>
              </w:rPr>
              <w:t>25</w:t>
            </w:r>
            <w:r>
              <w:rPr>
                <w:rFonts w:hint="eastAsia" w:ascii="宋体" w:hAnsi="宋体" w:eastAsia="宋体" w:cs="宋体"/>
                <w:color w:val="000000" w:themeColor="text1"/>
                <w:sz w:val="21"/>
                <w:szCs w:val="21"/>
              </w:rPr>
              <w:t>日。</w:t>
            </w:r>
          </w:p>
        </w:tc>
        <w:tc>
          <w:tcPr>
            <w:tcW w:w="577" w:type="dxa"/>
            <w:vAlign w:val="top"/>
          </w:tcPr>
          <w:p>
            <w:pPr>
              <w:keepLines w:val="0"/>
              <w:pageBreakBefore w:val="0"/>
              <w:kinsoku/>
              <w:wordWrap/>
              <w:overflowPunct/>
              <w:topLinePunct w:val="0"/>
              <w:bidi w:val="0"/>
              <w:spacing w:line="24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56" w:type="dxa"/>
          </w:tcPr>
          <w:p>
            <w:pPr>
              <w:pStyle w:val="5"/>
              <w:keepLines w:val="0"/>
              <w:pageBreakBefore w:val="0"/>
              <w:kinsoku/>
              <w:wordWrap/>
              <w:overflowPunct/>
              <w:topLinePunct w:val="0"/>
              <w:bidi w:val="0"/>
              <w:spacing w:line="240" w:lineRule="auto"/>
              <w:ind w:left="0" w:leftChars="0" w:firstLine="0" w:firstLineChars="0"/>
              <w:rPr>
                <w:rFonts w:hint="eastAsia" w:ascii="宋体" w:hAnsi="宋体" w:eastAsia="宋体" w:cs="宋体"/>
                <w:kern w:val="2"/>
                <w:sz w:val="21"/>
                <w:szCs w:val="21"/>
              </w:rPr>
            </w:pPr>
            <w:r>
              <w:rPr>
                <w:rFonts w:hint="eastAsia" w:ascii="宋体" w:hAnsi="宋体" w:eastAsia="宋体" w:cs="宋体"/>
                <w:kern w:val="2"/>
                <w:sz w:val="21"/>
                <w:szCs w:val="21"/>
              </w:rPr>
              <w:t>分析与评价</w:t>
            </w:r>
          </w:p>
        </w:tc>
        <w:tc>
          <w:tcPr>
            <w:tcW w:w="1164" w:type="dxa"/>
          </w:tcPr>
          <w:p>
            <w:pPr>
              <w:pStyle w:val="5"/>
              <w:keepLines w:val="0"/>
              <w:pageBreakBefore w:val="0"/>
              <w:kinsoku/>
              <w:wordWrap/>
              <w:overflowPunct/>
              <w:topLinePunct w:val="0"/>
              <w:bidi w:val="0"/>
              <w:spacing w:line="240" w:lineRule="auto"/>
              <w:ind w:left="0"/>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Q9.1.3</w:t>
            </w:r>
          </w:p>
        </w:tc>
        <w:tc>
          <w:tcPr>
            <w:tcW w:w="11012" w:type="dxa"/>
            <w:vAlign w:val="top"/>
          </w:tcPr>
          <w:p>
            <w:pPr>
              <w:keepNext w:val="0"/>
              <w:keepLines w:val="0"/>
              <w:pageBreakBefore w:val="0"/>
              <w:kinsoku/>
              <w:wordWrap/>
              <w:overflowPunct/>
              <w:topLinePunct w:val="0"/>
              <w:autoSpaceDE/>
              <w:autoSpaceDN/>
              <w:bidi w:val="0"/>
              <w:spacing w:line="24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1.</w:t>
            </w:r>
            <w:r>
              <w:rPr>
                <w:rFonts w:hint="eastAsia" w:ascii="宋体" w:hAnsi="宋体" w:eastAsia="宋体" w:cs="宋体"/>
                <w:color w:val="000000"/>
                <w:sz w:val="21"/>
                <w:szCs w:val="21"/>
                <w:lang w:eastAsia="zh-CN"/>
              </w:rPr>
              <w:t>管理手册</w:t>
            </w:r>
            <w:r>
              <w:rPr>
                <w:rFonts w:hint="eastAsia" w:ascii="宋体" w:hAnsi="宋体" w:eastAsia="宋体" w:cs="宋体"/>
                <w:color w:val="000000"/>
                <w:sz w:val="21"/>
                <w:szCs w:val="21"/>
              </w:rPr>
              <w:t xml:space="preserve">及相关文件中对收集产品、过程、体系数据的范围、类型、统计方法进行了规定。 </w:t>
            </w:r>
          </w:p>
          <w:p>
            <w:pPr>
              <w:keepNext w:val="0"/>
              <w:keepLines w:val="0"/>
              <w:pageBreakBefore w:val="0"/>
              <w:kinsoku/>
              <w:wordWrap/>
              <w:overflowPunct/>
              <w:topLinePunct w:val="0"/>
              <w:autoSpaceDE/>
              <w:autoSpaceDN/>
              <w:bidi w:val="0"/>
              <w:spacing w:line="24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2.查顾客满意度调查表：公司20</w:t>
            </w:r>
            <w:r>
              <w:rPr>
                <w:rFonts w:hint="eastAsia" w:ascii="宋体" w:hAnsi="宋体" w:eastAsia="宋体" w:cs="宋体"/>
                <w:color w:val="000000"/>
                <w:sz w:val="21"/>
                <w:szCs w:val="21"/>
                <w:lang w:val="en-US" w:eastAsia="zh-CN"/>
              </w:rPr>
              <w:t>22</w:t>
            </w:r>
            <w:r>
              <w:rPr>
                <w:rFonts w:hint="eastAsia" w:ascii="宋体" w:hAnsi="宋体" w:eastAsia="宋体" w:cs="宋体"/>
                <w:color w:val="000000"/>
                <w:sz w:val="21"/>
                <w:szCs w:val="21"/>
              </w:rPr>
              <w:t>年</w:t>
            </w:r>
            <w:r>
              <w:rPr>
                <w:rFonts w:hint="eastAsia" w:ascii="宋体" w:hAnsi="宋体" w:eastAsia="宋体" w:cs="宋体"/>
                <w:color w:val="000000"/>
                <w:sz w:val="21"/>
                <w:szCs w:val="21"/>
                <w:lang w:val="en-US" w:eastAsia="zh-CN"/>
              </w:rPr>
              <w:t>3</w:t>
            </w:r>
            <w:r>
              <w:rPr>
                <w:rFonts w:hint="eastAsia" w:ascii="宋体" w:hAnsi="宋体" w:eastAsia="宋体" w:cs="宋体"/>
                <w:color w:val="000000"/>
                <w:sz w:val="21"/>
                <w:szCs w:val="21"/>
              </w:rPr>
              <w:t>月以</w:t>
            </w:r>
            <w:r>
              <w:rPr>
                <w:rFonts w:hint="eastAsia" w:ascii="宋体" w:hAnsi="宋体" w:eastAsia="宋体" w:cs="宋体"/>
                <w:color w:val="000000"/>
                <w:sz w:val="21"/>
                <w:szCs w:val="21"/>
                <w:lang w:val="en-US" w:eastAsia="zh-CN"/>
              </w:rPr>
              <w:t>电话询问</w:t>
            </w:r>
            <w:r>
              <w:rPr>
                <w:rFonts w:hint="eastAsia" w:ascii="宋体" w:hAnsi="宋体" w:eastAsia="宋体" w:cs="宋体"/>
                <w:color w:val="000000"/>
                <w:sz w:val="21"/>
                <w:szCs w:val="21"/>
              </w:rPr>
              <w:t>形式对顾客进行了满意度调查，对公司的质量、服务、交</w:t>
            </w:r>
            <w:r>
              <w:rPr>
                <w:rFonts w:hint="eastAsia" w:ascii="宋体" w:hAnsi="宋体" w:eastAsia="宋体" w:cs="宋体"/>
                <w:color w:val="000000"/>
                <w:sz w:val="21"/>
                <w:szCs w:val="21"/>
                <w:lang w:val="en-US" w:eastAsia="zh-CN"/>
              </w:rPr>
              <w:t>期、价格</w:t>
            </w:r>
            <w:r>
              <w:rPr>
                <w:rFonts w:hint="eastAsia" w:ascii="宋体" w:hAnsi="宋体" w:eastAsia="宋体" w:cs="宋体"/>
                <w:color w:val="000000"/>
                <w:sz w:val="21"/>
                <w:szCs w:val="21"/>
              </w:rPr>
              <w:t>等项进行打分。查《</w:t>
            </w:r>
            <w:r>
              <w:rPr>
                <w:rFonts w:hint="eastAsia" w:ascii="宋体" w:hAnsi="宋体" w:eastAsia="宋体" w:cs="宋体"/>
                <w:color w:val="000000"/>
                <w:sz w:val="21"/>
                <w:szCs w:val="21"/>
                <w:lang w:eastAsia="zh-CN"/>
              </w:rPr>
              <w:t>客户满意程度调查表</w:t>
            </w:r>
            <w:r>
              <w:rPr>
                <w:rFonts w:hint="eastAsia" w:ascii="宋体" w:hAnsi="宋体" w:eastAsia="宋体" w:cs="宋体"/>
                <w:color w:val="000000"/>
                <w:sz w:val="21"/>
                <w:szCs w:val="21"/>
              </w:rPr>
              <w:t>》对满意度进行了统计；通过统计顾客满意率为</w:t>
            </w:r>
            <w:r>
              <w:rPr>
                <w:rFonts w:hint="eastAsia" w:ascii="宋体" w:hAnsi="宋体" w:eastAsia="宋体" w:cs="宋体"/>
                <w:color w:val="000000"/>
                <w:sz w:val="21"/>
                <w:szCs w:val="21"/>
                <w:lang w:val="en-US" w:eastAsia="zh-CN"/>
              </w:rPr>
              <w:t>97%。</w:t>
            </w:r>
          </w:p>
          <w:p>
            <w:pPr>
              <w:keepNext w:val="0"/>
              <w:keepLines w:val="0"/>
              <w:pageBreakBefore w:val="0"/>
              <w:kinsoku/>
              <w:wordWrap/>
              <w:overflowPunct/>
              <w:topLinePunct w:val="0"/>
              <w:autoSpaceDE/>
              <w:autoSpaceDN/>
              <w:bidi w:val="0"/>
              <w:spacing w:line="240" w:lineRule="auto"/>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3</w:t>
            </w:r>
            <w:r>
              <w:rPr>
                <w:rFonts w:hint="eastAsia" w:ascii="宋体" w:hAnsi="宋体" w:eastAsia="宋体" w:cs="宋体"/>
                <w:color w:val="000000"/>
                <w:sz w:val="21"/>
                <w:szCs w:val="21"/>
              </w:rPr>
              <w:t>.查目标统计等记录，公司</w:t>
            </w:r>
            <w:r>
              <w:rPr>
                <w:rFonts w:hint="eastAsia" w:ascii="宋体" w:hAnsi="宋体" w:eastAsia="宋体" w:cs="宋体"/>
                <w:color w:val="000000"/>
                <w:sz w:val="21"/>
                <w:szCs w:val="21"/>
                <w:lang w:eastAsia="zh-CN"/>
              </w:rPr>
              <w:t>202</w:t>
            </w:r>
            <w:r>
              <w:rPr>
                <w:rFonts w:hint="eastAsia" w:ascii="宋体" w:hAnsi="宋体" w:eastAsia="宋体" w:cs="宋体"/>
                <w:color w:val="000000"/>
                <w:sz w:val="21"/>
                <w:szCs w:val="21"/>
                <w:lang w:val="en-US" w:eastAsia="zh-CN"/>
              </w:rPr>
              <w:t>2</w:t>
            </w:r>
            <w:r>
              <w:rPr>
                <w:rFonts w:hint="eastAsia" w:ascii="宋体" w:hAnsi="宋体" w:eastAsia="宋体" w:cs="宋体"/>
                <w:color w:val="000000"/>
                <w:sz w:val="21"/>
                <w:szCs w:val="21"/>
                <w:lang w:eastAsia="zh-CN"/>
              </w:rPr>
              <w:t>年</w:t>
            </w:r>
            <w:r>
              <w:rPr>
                <w:rFonts w:hint="eastAsia" w:ascii="宋体" w:hAnsi="宋体" w:eastAsia="宋体" w:cs="宋体"/>
                <w:color w:val="000000"/>
                <w:sz w:val="21"/>
                <w:szCs w:val="21"/>
                <w:lang w:val="en-US" w:eastAsia="zh-CN"/>
              </w:rPr>
              <w:t>1</w:t>
            </w:r>
            <w:r>
              <w:rPr>
                <w:rFonts w:hint="eastAsia" w:ascii="宋体" w:hAnsi="宋体" w:eastAsia="宋体" w:cs="宋体"/>
                <w:color w:val="000000"/>
                <w:sz w:val="21"/>
                <w:szCs w:val="21"/>
                <w:lang w:eastAsia="zh-CN"/>
              </w:rPr>
              <w:t>月至202</w:t>
            </w:r>
            <w:r>
              <w:rPr>
                <w:rFonts w:hint="eastAsia" w:ascii="宋体" w:hAnsi="宋体" w:eastAsia="宋体" w:cs="宋体"/>
                <w:color w:val="000000"/>
                <w:sz w:val="21"/>
                <w:szCs w:val="21"/>
                <w:lang w:val="en-US" w:eastAsia="zh-CN"/>
              </w:rPr>
              <w:t>2</w:t>
            </w:r>
            <w:r>
              <w:rPr>
                <w:rFonts w:hint="eastAsia" w:ascii="宋体" w:hAnsi="宋体" w:eastAsia="宋体" w:cs="宋体"/>
                <w:color w:val="000000"/>
                <w:sz w:val="21"/>
                <w:szCs w:val="21"/>
                <w:lang w:eastAsia="zh-CN"/>
              </w:rPr>
              <w:t>年</w:t>
            </w:r>
            <w:r>
              <w:rPr>
                <w:rFonts w:hint="eastAsia" w:ascii="宋体" w:hAnsi="宋体" w:eastAsia="宋体" w:cs="宋体"/>
                <w:color w:val="000000"/>
                <w:sz w:val="21"/>
                <w:szCs w:val="21"/>
                <w:lang w:val="en-US" w:eastAsia="zh-CN"/>
              </w:rPr>
              <w:t>6</w:t>
            </w:r>
            <w:r>
              <w:rPr>
                <w:rFonts w:hint="eastAsia" w:ascii="宋体" w:hAnsi="宋体" w:eastAsia="宋体" w:cs="宋体"/>
                <w:color w:val="000000"/>
                <w:sz w:val="21"/>
                <w:szCs w:val="21"/>
                <w:lang w:eastAsia="zh-CN"/>
              </w:rPr>
              <w:t>月</w:t>
            </w:r>
            <w:r>
              <w:rPr>
                <w:rFonts w:hint="eastAsia" w:ascii="宋体" w:hAnsi="宋体" w:eastAsia="宋体" w:cs="宋体"/>
                <w:color w:val="000000"/>
                <w:sz w:val="21"/>
                <w:szCs w:val="21"/>
              </w:rPr>
              <w:t>数据统计的结果为：</w:t>
            </w:r>
          </w:p>
          <w:p>
            <w:pPr>
              <w:keepLines w:val="0"/>
              <w:pageBreakBefore w:val="0"/>
              <w:kinsoku/>
              <w:wordWrap/>
              <w:overflowPunct/>
              <w:topLinePunct w:val="0"/>
              <w:bidi w:val="0"/>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r>
              <w:rPr>
                <w:rFonts w:hint="eastAsia" w:ascii="宋体" w:hAnsi="宋体" w:eastAsia="宋体" w:cs="宋体"/>
                <w:sz w:val="21"/>
                <w:szCs w:val="21"/>
              </w:rPr>
              <w:t>客户投诉</w:t>
            </w:r>
            <w:r>
              <w:rPr>
                <w:rFonts w:hint="eastAsia" w:ascii="宋体" w:hAnsi="宋体" w:eastAsia="宋体" w:cs="宋体"/>
                <w:sz w:val="21"/>
                <w:szCs w:val="21"/>
                <w:lang w:val="en-US" w:eastAsia="zh-CN"/>
              </w:rPr>
              <w:t>实测：0</w:t>
            </w:r>
          </w:p>
          <w:p>
            <w:pPr>
              <w:keepLines w:val="0"/>
              <w:pageBreakBefore w:val="0"/>
              <w:kinsoku/>
              <w:wordWrap/>
              <w:overflowPunct/>
              <w:topLinePunct w:val="0"/>
              <w:bidi w:val="0"/>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r>
              <w:rPr>
                <w:rFonts w:hint="eastAsia" w:ascii="宋体" w:hAnsi="宋体" w:eastAsia="宋体" w:cs="宋体"/>
                <w:sz w:val="21"/>
                <w:szCs w:val="21"/>
              </w:rPr>
              <w:t>顾客满意度</w:t>
            </w:r>
            <w:r>
              <w:rPr>
                <w:rFonts w:hint="eastAsia" w:ascii="宋体" w:hAnsi="宋体" w:eastAsia="宋体" w:cs="宋体"/>
                <w:sz w:val="21"/>
                <w:szCs w:val="21"/>
                <w:lang w:val="en-US" w:eastAsia="zh-CN"/>
              </w:rPr>
              <w:t>实测：97%</w:t>
            </w:r>
          </w:p>
          <w:p>
            <w:pPr>
              <w:keepLines w:val="0"/>
              <w:pageBreakBefore w:val="0"/>
              <w:kinsoku/>
              <w:wordWrap/>
              <w:overflowPunct/>
              <w:topLinePunct w:val="0"/>
              <w:bidi w:val="0"/>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r>
              <w:rPr>
                <w:rFonts w:hint="eastAsia" w:ascii="宋体" w:hAnsi="宋体" w:eastAsia="宋体" w:cs="宋体"/>
                <w:sz w:val="21"/>
                <w:szCs w:val="21"/>
              </w:rPr>
              <w:t>固体废弃物100%合理分类理；</w:t>
            </w:r>
          </w:p>
          <w:p>
            <w:pPr>
              <w:keepLines w:val="0"/>
              <w:pageBreakBefore w:val="0"/>
              <w:kinsoku/>
              <w:wordWrap/>
              <w:overflowPunct/>
              <w:topLinePunct w:val="0"/>
              <w:bidi w:val="0"/>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r>
              <w:rPr>
                <w:rFonts w:hint="eastAsia" w:ascii="宋体" w:hAnsi="宋体" w:eastAsia="宋体" w:cs="宋体"/>
                <w:sz w:val="21"/>
                <w:szCs w:val="21"/>
              </w:rPr>
              <w:t>触电事故发生率为零；</w:t>
            </w:r>
          </w:p>
          <w:p>
            <w:pPr>
              <w:keepLines w:val="0"/>
              <w:pageBreakBefore w:val="0"/>
              <w:kinsoku/>
              <w:wordWrap/>
              <w:overflowPunct/>
              <w:topLinePunct w:val="0"/>
              <w:bidi w:val="0"/>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w:t>
            </w:r>
            <w:r>
              <w:rPr>
                <w:rFonts w:hint="eastAsia" w:ascii="宋体" w:hAnsi="宋体" w:eastAsia="宋体" w:cs="宋体"/>
                <w:sz w:val="21"/>
                <w:szCs w:val="21"/>
              </w:rPr>
              <w:t>各类重伤以上事故发生率零；</w:t>
            </w:r>
          </w:p>
          <w:p>
            <w:pPr>
              <w:keepLines w:val="0"/>
              <w:pageBreakBefore w:val="0"/>
              <w:kinsoku/>
              <w:wordWrap/>
              <w:overflowPunct/>
              <w:topLinePunct w:val="0"/>
              <w:bidi w:val="0"/>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w:t>
            </w:r>
            <w:r>
              <w:rPr>
                <w:rFonts w:hint="eastAsia" w:ascii="宋体" w:hAnsi="宋体" w:eastAsia="宋体" w:cs="宋体"/>
                <w:sz w:val="21"/>
                <w:szCs w:val="21"/>
              </w:rPr>
              <w:t>火灾事故发生率为零。</w:t>
            </w:r>
          </w:p>
          <w:p>
            <w:pPr>
              <w:keepNext w:val="0"/>
              <w:keepLines w:val="0"/>
              <w:pageBreakBefore w:val="0"/>
              <w:kinsoku/>
              <w:wordWrap/>
              <w:overflowPunct/>
              <w:topLinePunct w:val="0"/>
              <w:autoSpaceDE/>
              <w:autoSpaceDN/>
              <w:bidi w:val="0"/>
              <w:spacing w:line="240" w:lineRule="auto"/>
              <w:ind w:firstLine="420" w:firstLineChars="200"/>
              <w:jc w:val="left"/>
              <w:rPr>
                <w:rFonts w:hint="eastAsia" w:ascii="宋体" w:hAnsi="宋体" w:eastAsia="宋体" w:cs="宋体"/>
                <w:sz w:val="21"/>
                <w:szCs w:val="21"/>
              </w:rPr>
            </w:pPr>
            <w:r>
              <w:rPr>
                <w:rFonts w:hint="eastAsia" w:ascii="宋体" w:hAnsi="宋体" w:eastAsia="宋体" w:cs="宋体"/>
                <w:color w:val="000000"/>
                <w:sz w:val="21"/>
                <w:szCs w:val="21"/>
              </w:rPr>
              <w:t>查《管理评审资料》对过程和产品的特性及趋势、供方、顾客满意、产品的符合性进行了分析，均较满意。</w:t>
            </w:r>
          </w:p>
          <w:p>
            <w:pPr>
              <w:keepNext w:val="0"/>
              <w:keepLines w:val="0"/>
              <w:pageBreakBefore w:val="0"/>
              <w:kinsoku/>
              <w:wordWrap/>
              <w:overflowPunct/>
              <w:topLinePunct w:val="0"/>
              <w:autoSpaceDE/>
              <w:autoSpaceDN/>
              <w:bidi w:val="0"/>
              <w:spacing w:line="240" w:lineRule="auto"/>
              <w:rPr>
                <w:rFonts w:hint="eastAsia" w:ascii="宋体" w:hAnsi="宋体" w:eastAsia="宋体" w:cs="宋体"/>
                <w:kern w:val="2"/>
                <w:sz w:val="21"/>
                <w:szCs w:val="21"/>
                <w:lang w:val="en-US" w:eastAsia="zh-CN" w:bidi="ar"/>
              </w:rPr>
            </w:pPr>
            <w:r>
              <w:rPr>
                <w:rFonts w:hint="eastAsia" w:ascii="宋体" w:hAnsi="宋体" w:eastAsia="宋体" w:cs="宋体"/>
                <w:sz w:val="21"/>
                <w:szCs w:val="21"/>
              </w:rPr>
              <w:t xml:space="preserve">  根据组织提供的相关文件资料，数据分析</w:t>
            </w:r>
            <w:r>
              <w:rPr>
                <w:rFonts w:hint="eastAsia" w:ascii="宋体" w:hAnsi="宋体" w:eastAsia="宋体" w:cs="宋体"/>
                <w:sz w:val="21"/>
                <w:szCs w:val="21"/>
                <w:lang w:val="en-US" w:eastAsia="zh-CN"/>
              </w:rPr>
              <w:t>合理</w:t>
            </w:r>
            <w:r>
              <w:rPr>
                <w:rFonts w:hint="eastAsia" w:ascii="宋体" w:hAnsi="宋体" w:eastAsia="宋体" w:cs="宋体"/>
                <w:sz w:val="21"/>
                <w:szCs w:val="21"/>
              </w:rPr>
              <w:t>，支持性数据文件</w:t>
            </w:r>
            <w:r>
              <w:rPr>
                <w:rFonts w:hint="eastAsia" w:ascii="宋体" w:hAnsi="宋体" w:eastAsia="宋体" w:cs="宋体"/>
                <w:sz w:val="21"/>
                <w:szCs w:val="21"/>
                <w:lang w:val="en-US" w:eastAsia="zh-CN"/>
              </w:rPr>
              <w:t>足够</w:t>
            </w:r>
            <w:r>
              <w:rPr>
                <w:rFonts w:hint="eastAsia" w:ascii="宋体" w:hAnsi="宋体" w:eastAsia="宋体" w:cs="宋体"/>
                <w:sz w:val="21"/>
                <w:szCs w:val="21"/>
              </w:rPr>
              <w:t>。</w:t>
            </w:r>
          </w:p>
        </w:tc>
        <w:tc>
          <w:tcPr>
            <w:tcW w:w="577" w:type="dxa"/>
            <w:vAlign w:val="top"/>
          </w:tcPr>
          <w:p>
            <w:pPr>
              <w:keepLines w:val="0"/>
              <w:pageBreakBefore w:val="0"/>
              <w:kinsoku/>
              <w:wordWrap/>
              <w:overflowPunct/>
              <w:topLinePunct w:val="0"/>
              <w:bidi w:val="0"/>
              <w:spacing w:line="24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1956" w:type="dxa"/>
            <w:vAlign w:val="center"/>
          </w:tcPr>
          <w:p>
            <w:pPr>
              <w:keepLines w:val="0"/>
              <w:pageBreakBefore w:val="0"/>
              <w:kinsoku/>
              <w:wordWrap/>
              <w:overflowPunct/>
              <w:topLinePunct w:val="0"/>
              <w:bidi w:val="0"/>
              <w:spacing w:line="240" w:lineRule="auto"/>
              <w:rPr>
                <w:rFonts w:hint="eastAsia" w:ascii="宋体" w:hAnsi="宋体" w:eastAsia="宋体" w:cs="宋体"/>
                <w:color w:val="000000" w:themeColor="text1"/>
                <w:kern w:val="2"/>
                <w:sz w:val="21"/>
                <w:szCs w:val="21"/>
                <w:lang w:val="en-US" w:eastAsia="zh-CN" w:bidi="ar-SA"/>
              </w:rPr>
            </w:pPr>
            <w:r>
              <w:rPr>
                <w:rFonts w:hint="eastAsia" w:ascii="宋体" w:hAnsi="宋体" w:eastAsia="宋体" w:cs="宋体"/>
                <w:color w:val="000000" w:themeColor="text1"/>
                <w:sz w:val="21"/>
                <w:szCs w:val="21"/>
              </w:rPr>
              <w:t>内部审核</w:t>
            </w:r>
          </w:p>
        </w:tc>
        <w:tc>
          <w:tcPr>
            <w:tcW w:w="1164" w:type="dxa"/>
            <w:vAlign w:val="center"/>
          </w:tcPr>
          <w:p>
            <w:pPr>
              <w:keepLines w:val="0"/>
              <w:pageBreakBefore w:val="0"/>
              <w:kinsoku/>
              <w:wordWrap/>
              <w:overflowPunct/>
              <w:topLinePunct w:val="0"/>
              <w:bidi w:val="0"/>
              <w:spacing w:line="240" w:lineRule="auto"/>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Q</w:t>
            </w:r>
            <w:r>
              <w:rPr>
                <w:rFonts w:hint="eastAsia" w:ascii="宋体" w:hAnsi="宋体" w:eastAsia="宋体" w:cs="宋体"/>
                <w:color w:val="000000" w:themeColor="text1"/>
                <w:sz w:val="21"/>
                <w:szCs w:val="21"/>
                <w:lang w:val="en-US" w:eastAsia="zh-CN"/>
              </w:rPr>
              <w:t>EO</w:t>
            </w:r>
            <w:r>
              <w:rPr>
                <w:rFonts w:hint="eastAsia" w:ascii="宋体" w:hAnsi="宋体" w:eastAsia="宋体" w:cs="宋体"/>
                <w:color w:val="000000" w:themeColor="text1"/>
                <w:sz w:val="21"/>
                <w:szCs w:val="21"/>
              </w:rPr>
              <w:t>：9.2</w:t>
            </w:r>
          </w:p>
          <w:p>
            <w:pPr>
              <w:keepLines w:val="0"/>
              <w:pageBreakBefore w:val="0"/>
              <w:kinsoku/>
              <w:wordWrap/>
              <w:overflowPunct/>
              <w:topLinePunct w:val="0"/>
              <w:bidi w:val="0"/>
              <w:spacing w:line="240" w:lineRule="auto"/>
              <w:rPr>
                <w:rFonts w:hint="eastAsia" w:ascii="宋体" w:hAnsi="宋体" w:eastAsia="宋体" w:cs="宋体"/>
                <w:color w:val="000000" w:themeColor="text1"/>
                <w:kern w:val="2"/>
                <w:sz w:val="21"/>
                <w:szCs w:val="21"/>
                <w:lang w:val="en-US" w:eastAsia="zh-CN" w:bidi="ar-SA"/>
              </w:rPr>
            </w:pPr>
          </w:p>
        </w:tc>
        <w:tc>
          <w:tcPr>
            <w:tcW w:w="11012" w:type="dxa"/>
            <w:vAlign w:val="top"/>
          </w:tcPr>
          <w:p>
            <w:pPr>
              <w:keepNext w:val="0"/>
              <w:keepLines w:val="0"/>
              <w:pageBreakBefore w:val="0"/>
              <w:tabs>
                <w:tab w:val="center" w:pos="3169"/>
              </w:tabs>
              <w:kinsoku/>
              <w:wordWrap/>
              <w:overflowPunct/>
              <w:topLinePunct w:val="0"/>
              <w:autoSpaceDE/>
              <w:autoSpaceDN/>
              <w:bidi w:val="0"/>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查管理手册，公司按标准要求编制了《</w:t>
            </w:r>
            <w:r>
              <w:rPr>
                <w:rFonts w:hint="eastAsia" w:ascii="宋体" w:hAnsi="宋体" w:eastAsia="宋体" w:cs="宋体"/>
                <w:color w:val="auto"/>
                <w:sz w:val="21"/>
                <w:szCs w:val="21"/>
                <w:highlight w:val="none"/>
                <w:lang w:eastAsia="zh-CN"/>
              </w:rPr>
              <w:t>内部审核控制程序</w:t>
            </w:r>
            <w:r>
              <w:rPr>
                <w:rFonts w:hint="eastAsia" w:ascii="宋体" w:hAnsi="宋体" w:eastAsia="宋体" w:cs="宋体"/>
                <w:color w:val="auto"/>
                <w:sz w:val="21"/>
                <w:szCs w:val="21"/>
                <w:highlight w:val="none"/>
              </w:rPr>
              <w:t>》，规定了内部审核的目的、范围、职责、要求、方法频次等，规定每两次内审的时间不得超过12个月。</w:t>
            </w:r>
          </w:p>
          <w:p>
            <w:pPr>
              <w:keepNext w:val="0"/>
              <w:keepLines w:val="0"/>
              <w:pageBreakBefore w:val="0"/>
              <w:tabs>
                <w:tab w:val="center" w:pos="3169"/>
              </w:tabs>
              <w:kinsoku/>
              <w:wordWrap/>
              <w:overflowPunct/>
              <w:topLinePunct w:val="0"/>
              <w:autoSpaceDE/>
              <w:autoSpaceDN/>
              <w:bidi w:val="0"/>
              <w:spacing w:line="240" w:lineRule="auto"/>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查，20</w:t>
            </w:r>
            <w:r>
              <w:rPr>
                <w:rFonts w:hint="eastAsia" w:ascii="宋体" w:hAnsi="宋体" w:eastAsia="宋体" w:cs="宋体"/>
                <w:color w:val="auto"/>
                <w:sz w:val="21"/>
                <w:szCs w:val="21"/>
                <w:highlight w:val="none"/>
                <w:lang w:val="en-US" w:eastAsia="zh-CN"/>
              </w:rPr>
              <w:t>22</w:t>
            </w:r>
            <w:r>
              <w:rPr>
                <w:rFonts w:hint="eastAsia" w:ascii="宋体" w:hAnsi="宋体" w:eastAsia="宋体" w:cs="宋体"/>
                <w:color w:val="auto"/>
                <w:sz w:val="21"/>
                <w:szCs w:val="21"/>
                <w:highlight w:val="none"/>
              </w:rPr>
              <w:t>年《内审计划》</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三体系结合审核</w:t>
            </w:r>
            <w:r>
              <w:rPr>
                <w:rFonts w:hint="eastAsia" w:ascii="宋体" w:hAnsi="宋体" w:eastAsia="宋体" w:cs="宋体"/>
                <w:color w:val="auto"/>
                <w:sz w:val="21"/>
                <w:szCs w:val="21"/>
                <w:highlight w:val="none"/>
                <w:lang w:eastAsia="zh-CN"/>
              </w:rPr>
              <w:t>）</w:t>
            </w:r>
          </w:p>
          <w:p>
            <w:pPr>
              <w:keepNext w:val="0"/>
              <w:keepLines w:val="0"/>
              <w:pageBreakBefore w:val="0"/>
              <w:tabs>
                <w:tab w:val="center" w:pos="3169"/>
              </w:tabs>
              <w:kinsoku/>
              <w:wordWrap/>
              <w:overflowPunct/>
              <w:topLinePunct w:val="0"/>
              <w:autoSpaceDE/>
              <w:autoSpaceDN/>
              <w:bidi w:val="0"/>
              <w:spacing w:line="240" w:lineRule="auto"/>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审核时间：</w:t>
            </w:r>
            <w:r>
              <w:rPr>
                <w:rFonts w:hint="eastAsia" w:ascii="宋体" w:hAnsi="宋体" w:eastAsia="宋体" w:cs="宋体"/>
                <w:kern w:val="0"/>
                <w:sz w:val="21"/>
                <w:szCs w:val="21"/>
              </w:rPr>
              <w:t>202</w:t>
            </w:r>
            <w:r>
              <w:rPr>
                <w:rFonts w:hint="eastAsia" w:ascii="宋体" w:hAnsi="宋体" w:eastAsia="宋体" w:cs="宋体"/>
                <w:kern w:val="0"/>
                <w:sz w:val="21"/>
                <w:szCs w:val="21"/>
                <w:lang w:val="en-US" w:eastAsia="zh-CN"/>
              </w:rPr>
              <w:t>2</w:t>
            </w:r>
            <w:r>
              <w:rPr>
                <w:rFonts w:hint="eastAsia" w:ascii="宋体" w:hAnsi="宋体" w:eastAsia="宋体" w:cs="宋体"/>
                <w:kern w:val="0"/>
                <w:sz w:val="21"/>
                <w:szCs w:val="21"/>
              </w:rPr>
              <w:t>年4月</w:t>
            </w:r>
            <w:r>
              <w:rPr>
                <w:rFonts w:hint="eastAsia" w:ascii="宋体" w:hAnsi="宋体" w:eastAsia="宋体" w:cs="宋体"/>
                <w:kern w:val="0"/>
                <w:sz w:val="21"/>
                <w:szCs w:val="21"/>
                <w:lang w:val="en-US" w:eastAsia="zh-CN"/>
              </w:rPr>
              <w:t>20-</w:t>
            </w:r>
            <w:r>
              <w:rPr>
                <w:rFonts w:hint="eastAsia" w:ascii="宋体" w:hAnsi="宋体" w:eastAsia="宋体" w:cs="宋体"/>
                <w:kern w:val="0"/>
                <w:sz w:val="21"/>
                <w:szCs w:val="21"/>
              </w:rPr>
              <w:t>2</w:t>
            </w:r>
            <w:r>
              <w:rPr>
                <w:rFonts w:hint="eastAsia" w:ascii="宋体" w:hAnsi="宋体" w:eastAsia="宋体" w:cs="宋体"/>
                <w:kern w:val="0"/>
                <w:sz w:val="21"/>
                <w:szCs w:val="21"/>
                <w:lang w:val="en-US" w:eastAsia="zh-CN"/>
              </w:rPr>
              <w:t>1</w:t>
            </w:r>
            <w:r>
              <w:rPr>
                <w:rFonts w:hint="eastAsia" w:ascii="宋体" w:hAnsi="宋体" w:eastAsia="宋体" w:cs="宋体"/>
                <w:kern w:val="0"/>
                <w:sz w:val="21"/>
                <w:szCs w:val="21"/>
              </w:rPr>
              <w:t>日</w:t>
            </w:r>
            <w:r>
              <w:rPr>
                <w:rFonts w:hint="eastAsia" w:ascii="宋体" w:hAnsi="宋体" w:eastAsia="宋体" w:cs="宋体"/>
                <w:color w:val="auto"/>
                <w:sz w:val="21"/>
                <w:szCs w:val="21"/>
                <w:highlight w:val="none"/>
                <w:lang w:val="en-US" w:eastAsia="zh-CN"/>
              </w:rPr>
              <w:t>（上次审核时间2021年4月25日-26日，符合要求）</w:t>
            </w:r>
          </w:p>
          <w:p>
            <w:pPr>
              <w:keepNext w:val="0"/>
              <w:keepLines w:val="0"/>
              <w:pageBreakBefore w:val="0"/>
              <w:kinsoku/>
              <w:wordWrap/>
              <w:overflowPunct/>
              <w:topLinePunct w:val="0"/>
              <w:autoSpaceDE/>
              <w:autoSpaceDN/>
              <w:bidi w:val="0"/>
              <w:spacing w:line="24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目的：评价已建立的管理体系是否符合标准的要求并得到有效的实施</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识别质量</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环境</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职业健康安全管理体系持续改进的机会</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监督体系的运行，监测体系的运作的效果，以持续改进管理体系</w:t>
            </w:r>
            <w:r>
              <w:rPr>
                <w:rFonts w:hint="eastAsia" w:ascii="宋体" w:hAnsi="宋体" w:eastAsia="宋体" w:cs="宋体"/>
                <w:color w:val="auto"/>
                <w:sz w:val="21"/>
                <w:szCs w:val="21"/>
                <w:highlight w:val="none"/>
                <w:lang w:eastAsia="zh-CN"/>
              </w:rPr>
              <w:t>。</w:t>
            </w:r>
          </w:p>
          <w:p>
            <w:pPr>
              <w:keepNext w:val="0"/>
              <w:keepLines w:val="0"/>
              <w:pageBreakBefore w:val="0"/>
              <w:tabs>
                <w:tab w:val="center" w:pos="3169"/>
              </w:tabs>
              <w:kinsoku/>
              <w:wordWrap/>
              <w:overflowPunct/>
              <w:topLinePunct w:val="0"/>
              <w:autoSpaceDE/>
              <w:autoSpaceDN/>
              <w:bidi w:val="0"/>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范围：与本公司质量管理体系有关的所有部门、活动和人员。</w:t>
            </w:r>
          </w:p>
          <w:p>
            <w:pPr>
              <w:keepNext w:val="0"/>
              <w:keepLines w:val="0"/>
              <w:pageBreakBefore w:val="0"/>
              <w:kinsoku/>
              <w:wordWrap/>
              <w:overflowPunct/>
              <w:topLinePunct w:val="0"/>
              <w:autoSpaceDE/>
              <w:autoSpaceDN/>
              <w:bidi w:val="0"/>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审核组：组长：</w:t>
            </w:r>
            <w:r>
              <w:rPr>
                <w:rFonts w:hint="eastAsia" w:ascii="宋体" w:hAnsi="宋体" w:eastAsia="宋体" w:cs="宋体"/>
                <w:color w:val="auto"/>
                <w:sz w:val="21"/>
                <w:szCs w:val="21"/>
                <w:highlight w:val="none"/>
                <w:lang w:val="en-US" w:eastAsia="zh-CN"/>
              </w:rPr>
              <w:t>周建立</w:t>
            </w:r>
            <w:r>
              <w:rPr>
                <w:rFonts w:hint="eastAsia" w:ascii="宋体" w:hAnsi="宋体" w:eastAsia="宋体" w:cs="宋体"/>
                <w:color w:val="auto"/>
                <w:sz w:val="21"/>
                <w:szCs w:val="21"/>
                <w:highlight w:val="none"/>
              </w:rPr>
              <w:t>A     组员：</w:t>
            </w:r>
            <w:r>
              <w:rPr>
                <w:rFonts w:hint="eastAsia" w:ascii="宋体" w:hAnsi="宋体" w:eastAsia="宋体" w:cs="宋体"/>
                <w:kern w:val="0"/>
                <w:sz w:val="21"/>
                <w:szCs w:val="21"/>
              </w:rPr>
              <w:t>衡洪伟</w:t>
            </w:r>
            <w:r>
              <w:rPr>
                <w:rFonts w:hint="eastAsia" w:ascii="宋体" w:hAnsi="宋体" w:eastAsia="宋体" w:cs="宋体"/>
                <w:color w:val="auto"/>
                <w:sz w:val="21"/>
                <w:szCs w:val="21"/>
                <w:highlight w:val="none"/>
              </w:rPr>
              <w:t>B</w:t>
            </w:r>
          </w:p>
          <w:p>
            <w:pPr>
              <w:keepNext w:val="0"/>
              <w:keepLines w:val="0"/>
              <w:pageBreakBefore w:val="0"/>
              <w:tabs>
                <w:tab w:val="center" w:pos="3169"/>
              </w:tabs>
              <w:kinsoku/>
              <w:wordWrap/>
              <w:overflowPunct/>
              <w:topLinePunct w:val="0"/>
              <w:autoSpaceDE/>
              <w:autoSpaceDN/>
              <w:bidi w:val="0"/>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抽查《</w:t>
            </w:r>
            <w:r>
              <w:rPr>
                <w:rFonts w:hint="eastAsia" w:ascii="宋体" w:hAnsi="宋体" w:eastAsia="宋体" w:cs="宋体"/>
                <w:color w:val="auto"/>
                <w:sz w:val="21"/>
                <w:szCs w:val="21"/>
                <w:highlight w:val="none"/>
                <w:lang w:eastAsia="zh-CN"/>
              </w:rPr>
              <w:t>管理层</w:t>
            </w:r>
            <w:r>
              <w:rPr>
                <w:rFonts w:hint="eastAsia" w:ascii="宋体" w:hAnsi="宋体" w:eastAsia="宋体" w:cs="宋体"/>
                <w:color w:val="auto"/>
                <w:sz w:val="21"/>
                <w:szCs w:val="21"/>
                <w:highlight w:val="none"/>
                <w:lang w:val="en-US" w:eastAsia="zh-CN"/>
              </w:rPr>
              <w:t>内审</w:t>
            </w:r>
            <w:r>
              <w:rPr>
                <w:rFonts w:hint="eastAsia" w:ascii="宋体" w:hAnsi="宋体" w:eastAsia="宋体" w:cs="宋体"/>
                <w:color w:val="auto"/>
                <w:sz w:val="21"/>
                <w:szCs w:val="21"/>
                <w:highlight w:val="none"/>
              </w:rPr>
              <w:t>检查表》</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行政部内审</w:t>
            </w:r>
            <w:r>
              <w:rPr>
                <w:rFonts w:hint="eastAsia" w:ascii="宋体" w:hAnsi="宋体" w:eastAsia="宋体" w:cs="宋体"/>
                <w:color w:val="auto"/>
                <w:sz w:val="21"/>
                <w:szCs w:val="21"/>
                <w:highlight w:val="none"/>
              </w:rPr>
              <w:t>检查表》、《</w:t>
            </w:r>
            <w:r>
              <w:rPr>
                <w:rFonts w:hint="eastAsia" w:ascii="宋体" w:hAnsi="宋体" w:eastAsia="宋体" w:cs="宋体"/>
                <w:color w:val="auto"/>
                <w:sz w:val="21"/>
                <w:szCs w:val="21"/>
                <w:highlight w:val="none"/>
                <w:lang w:val="en-US" w:eastAsia="zh-CN"/>
              </w:rPr>
              <w:t>销售部内审</w:t>
            </w:r>
            <w:r>
              <w:rPr>
                <w:rFonts w:hint="eastAsia" w:ascii="宋体" w:hAnsi="宋体" w:eastAsia="宋体" w:cs="宋体"/>
                <w:color w:val="auto"/>
                <w:sz w:val="21"/>
                <w:szCs w:val="21"/>
                <w:highlight w:val="none"/>
              </w:rPr>
              <w:t>检查表》</w:t>
            </w:r>
            <w:r>
              <w:rPr>
                <w:rFonts w:hint="eastAsia" w:ascii="宋体" w:hAnsi="宋体" w:eastAsia="宋体" w:cs="宋体"/>
                <w:color w:val="auto"/>
                <w:sz w:val="21"/>
                <w:szCs w:val="21"/>
                <w:highlight w:val="none"/>
                <w:lang w:val="en-US" w:eastAsia="zh-CN"/>
              </w:rPr>
              <w:t>等</w:t>
            </w:r>
            <w:r>
              <w:rPr>
                <w:rFonts w:hint="eastAsia" w:ascii="宋体" w:hAnsi="宋体" w:eastAsia="宋体" w:cs="宋体"/>
                <w:color w:val="auto"/>
                <w:sz w:val="21"/>
                <w:szCs w:val="21"/>
                <w:highlight w:val="none"/>
              </w:rPr>
              <w:t xml:space="preserve">审核记录，审核过程及条款基本齐全，不存在审核自己部门的情况。 </w:t>
            </w:r>
          </w:p>
          <w:p>
            <w:pPr>
              <w:keepNext w:val="0"/>
              <w:keepLines w:val="0"/>
              <w:pageBreakBefore w:val="0"/>
              <w:tabs>
                <w:tab w:val="center" w:pos="3169"/>
              </w:tabs>
              <w:kinsoku/>
              <w:wordWrap/>
              <w:overflowPunct/>
              <w:topLinePunct w:val="0"/>
              <w:autoSpaceDE/>
              <w:autoSpaceDN/>
              <w:bidi w:val="0"/>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查本次内审共发现不合格项</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个，属一般不符合。涉及</w:t>
            </w:r>
            <w:r>
              <w:rPr>
                <w:rFonts w:hint="eastAsia" w:ascii="宋体" w:hAnsi="宋体" w:eastAsia="宋体" w:cs="宋体"/>
                <w:color w:val="auto"/>
                <w:sz w:val="21"/>
                <w:szCs w:val="21"/>
                <w:highlight w:val="none"/>
                <w:lang w:val="en-US" w:eastAsia="zh-CN"/>
              </w:rPr>
              <w:t>行政部QES7.2</w:t>
            </w:r>
            <w:r>
              <w:rPr>
                <w:rFonts w:hint="eastAsia" w:ascii="宋体" w:hAnsi="宋体" w:eastAsia="宋体" w:cs="宋体"/>
                <w:color w:val="auto"/>
                <w:sz w:val="21"/>
                <w:szCs w:val="21"/>
                <w:highlight w:val="none"/>
              </w:rPr>
              <w:t>条款</w:t>
            </w:r>
            <w:r>
              <w:rPr>
                <w:rFonts w:hint="eastAsia" w:ascii="宋体" w:hAnsi="宋体" w:eastAsia="宋体" w:cs="宋体"/>
                <w:color w:val="auto"/>
                <w:sz w:val="21"/>
                <w:szCs w:val="21"/>
                <w:highlight w:val="none"/>
                <w:lang w:val="en-US" w:eastAsia="zh-CN"/>
              </w:rPr>
              <w:t>,不符合描述为“</w:t>
            </w:r>
            <w:r>
              <w:rPr>
                <w:rFonts w:hint="eastAsia" w:ascii="宋体" w:hAnsi="宋体" w:eastAsia="宋体" w:cs="宋体"/>
                <w:kern w:val="0"/>
                <w:sz w:val="21"/>
                <w:szCs w:val="21"/>
              </w:rPr>
              <w:t>未能提供按照培训计划进行体系文件培训学习的证据</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已经对不合格原因进行了分析，制订了纠正措施，并对结果进行了验证。</w:t>
            </w:r>
          </w:p>
          <w:p>
            <w:pPr>
              <w:keepNext w:val="0"/>
              <w:keepLines w:val="0"/>
              <w:pageBreakBefore w:val="0"/>
              <w:kinsoku/>
              <w:wordWrap/>
              <w:overflowPunct/>
              <w:topLinePunct w:val="0"/>
              <w:autoSpaceDE/>
              <w:autoSpaceDN/>
              <w:bidi w:val="0"/>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查，审核结论：公司管理体系符合GB/T19001-2016、GB/T24001-2016、ISO45001：2018标准、公司体系文件、法律法规的要求，公司质量</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环境</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职业健康安全管理体系运行有效。</w:t>
            </w:r>
          </w:p>
          <w:p>
            <w:pPr>
              <w:keepNext w:val="0"/>
              <w:keepLines w:val="0"/>
              <w:pageBreakBefore w:val="0"/>
              <w:kinsoku/>
              <w:wordWrap/>
              <w:overflowPunct/>
              <w:topLinePunct w:val="0"/>
              <w:autoSpaceDE/>
              <w:autoSpaceDN/>
              <w:bidi w:val="0"/>
              <w:spacing w:line="24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通过内部审核，公司管理体系的建立实施是有效的，符合标准要求。</w:t>
            </w:r>
          </w:p>
        </w:tc>
        <w:tc>
          <w:tcPr>
            <w:tcW w:w="577" w:type="dxa"/>
            <w:vAlign w:val="top"/>
          </w:tcPr>
          <w:p>
            <w:pPr>
              <w:keepLines w:val="0"/>
              <w:pageBreakBefore w:val="0"/>
              <w:kinsoku/>
              <w:wordWrap/>
              <w:overflowPunct/>
              <w:topLinePunct w:val="0"/>
              <w:bidi w:val="0"/>
              <w:spacing w:line="24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5" w:hRule="atLeast"/>
        </w:trPr>
        <w:tc>
          <w:tcPr>
            <w:tcW w:w="1956" w:type="dxa"/>
            <w:vAlign w:val="center"/>
          </w:tcPr>
          <w:p>
            <w:pPr>
              <w:keepLines w:val="0"/>
              <w:pageBreakBefore w:val="0"/>
              <w:kinsoku/>
              <w:wordWrap/>
              <w:overflowPunct/>
              <w:topLinePunct w:val="0"/>
              <w:bidi w:val="0"/>
              <w:spacing w:line="240" w:lineRule="auto"/>
              <w:rPr>
                <w:rFonts w:hint="eastAsia" w:ascii="宋体" w:hAnsi="宋体" w:eastAsia="宋体" w:cs="宋体"/>
                <w:sz w:val="21"/>
                <w:szCs w:val="21"/>
              </w:rPr>
            </w:pPr>
          </w:p>
          <w:p>
            <w:pPr>
              <w:keepLines w:val="0"/>
              <w:pageBreakBefore w:val="0"/>
              <w:kinsoku/>
              <w:wordWrap/>
              <w:overflowPunct/>
              <w:topLinePunct w:val="0"/>
              <w:bidi w:val="0"/>
              <w:spacing w:line="240" w:lineRule="auto"/>
              <w:rPr>
                <w:rFonts w:hint="eastAsia" w:ascii="宋体" w:hAnsi="宋体" w:eastAsia="宋体" w:cs="宋体"/>
                <w:sz w:val="21"/>
                <w:szCs w:val="21"/>
              </w:rPr>
            </w:pPr>
            <w:r>
              <w:rPr>
                <w:rFonts w:hint="eastAsia" w:ascii="宋体" w:hAnsi="宋体" w:eastAsia="宋体" w:cs="宋体"/>
                <w:sz w:val="21"/>
                <w:szCs w:val="21"/>
              </w:rPr>
              <w:t xml:space="preserve">事件、不符合和纠正措施 </w:t>
            </w:r>
          </w:p>
          <w:p>
            <w:pPr>
              <w:keepLines w:val="0"/>
              <w:pageBreakBefore w:val="0"/>
              <w:kinsoku/>
              <w:wordWrap/>
              <w:overflowPunct/>
              <w:topLinePunct w:val="0"/>
              <w:bidi w:val="0"/>
              <w:spacing w:line="240" w:lineRule="auto"/>
              <w:rPr>
                <w:rFonts w:hint="eastAsia" w:ascii="宋体" w:hAnsi="宋体" w:eastAsia="宋体" w:cs="宋体"/>
                <w:kern w:val="2"/>
                <w:sz w:val="21"/>
                <w:szCs w:val="21"/>
                <w:lang w:val="en-US" w:eastAsia="zh-CN" w:bidi="ar-SA"/>
              </w:rPr>
            </w:pPr>
          </w:p>
        </w:tc>
        <w:tc>
          <w:tcPr>
            <w:tcW w:w="1164" w:type="dxa"/>
            <w:vAlign w:val="center"/>
          </w:tcPr>
          <w:p>
            <w:pPr>
              <w:keepLines w:val="0"/>
              <w:pageBreakBefore w:val="0"/>
              <w:kinsoku/>
              <w:wordWrap/>
              <w:overflowPunct/>
              <w:topLinePunct w:val="0"/>
              <w:bidi w:val="0"/>
              <w:spacing w:line="240" w:lineRule="auto"/>
              <w:jc w:val="center"/>
              <w:rPr>
                <w:rFonts w:hint="eastAsia" w:ascii="宋体" w:hAnsi="宋体" w:eastAsia="宋体" w:cs="宋体"/>
                <w:sz w:val="21"/>
                <w:szCs w:val="21"/>
              </w:rPr>
            </w:pPr>
          </w:p>
          <w:p>
            <w:pPr>
              <w:keepLines w:val="0"/>
              <w:pageBreakBefore w:val="0"/>
              <w:kinsoku/>
              <w:wordWrap/>
              <w:overflowPunct/>
              <w:topLinePunct w:val="0"/>
              <w:bidi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QE：10.2</w:t>
            </w:r>
          </w:p>
          <w:p>
            <w:pPr>
              <w:keepLines w:val="0"/>
              <w:pageBreakBefore w:val="0"/>
              <w:kinsoku/>
              <w:wordWrap/>
              <w:overflowPunct/>
              <w:topLinePunct w:val="0"/>
              <w:bidi w:val="0"/>
              <w:spacing w:line="240" w:lineRule="auto"/>
              <w:jc w:val="center"/>
              <w:rPr>
                <w:rFonts w:hint="eastAsia" w:ascii="宋体" w:hAnsi="宋体" w:eastAsia="宋体" w:cs="宋体"/>
                <w:spacing w:val="-6"/>
                <w:kern w:val="2"/>
                <w:sz w:val="21"/>
                <w:szCs w:val="21"/>
                <w:lang w:val="en-US" w:eastAsia="zh-CN" w:bidi="ar-SA"/>
              </w:rPr>
            </w:pPr>
          </w:p>
        </w:tc>
        <w:tc>
          <w:tcPr>
            <w:tcW w:w="11012" w:type="dxa"/>
            <w:vAlign w:val="top"/>
          </w:tcPr>
          <w:p>
            <w:pPr>
              <w:keepLines w:val="0"/>
              <w:pageBreakBefore w:val="0"/>
              <w:kinsoku/>
              <w:wordWrap/>
              <w:overflowPunct/>
              <w:topLinePunct w:val="0"/>
              <w:bidi w:val="0"/>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 xml:space="preserve">保持实施《改进控制程序》，对纠正预防措施识别、评审、验证，事故事件报告、调查、处理等作了规定，其内容符合组织实际及标准要求。 </w:t>
            </w:r>
          </w:p>
          <w:p>
            <w:pPr>
              <w:keepLines w:val="0"/>
              <w:pageBreakBefore w:val="0"/>
              <w:kinsoku/>
              <w:wordWrap/>
              <w:overflowPunct/>
              <w:topLinePunct w:val="0"/>
              <w:bidi w:val="0"/>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查纠正措施实施情况：</w:t>
            </w:r>
          </w:p>
          <w:p>
            <w:pPr>
              <w:keepLines w:val="0"/>
              <w:pageBreakBefore w:val="0"/>
              <w:kinsoku/>
              <w:wordWrap/>
              <w:overflowPunct/>
              <w:topLinePunct w:val="0"/>
              <w:bidi w:val="0"/>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对内审中提出不合格项进行了原因分析,并制定、实施了纠正措施，并由内审员对所采取的纠正措施进行了验证，纠正措施有效，管理评审中发现的薄弱环节，分析了原因，采取了纠正措施。</w:t>
            </w:r>
          </w:p>
          <w:p>
            <w:pPr>
              <w:keepLines w:val="0"/>
              <w:pageBreakBefore w:val="0"/>
              <w:kinsoku/>
              <w:wordWrap/>
              <w:overflowPunct/>
              <w:topLinePunct w:val="0"/>
              <w:bidi w:val="0"/>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体系运行以来公司按照体系的要求，通过运行控制、加强培训，以及开展管理评审活动等方式采取预防措施，防止不符合/不合格的发生，不符合得到了有效控制，人员质量、环保、安全意识有了明显提高，没有发现潜在的不符合，没有发生重大质量事故和投诉处罚，没有发生环境、职业健康安全事件和投诉处罚。</w:t>
            </w:r>
          </w:p>
          <w:p>
            <w:pPr>
              <w:keepLines w:val="0"/>
              <w:pageBreakBefore w:val="0"/>
              <w:tabs>
                <w:tab w:val="left" w:pos="6597"/>
              </w:tabs>
              <w:kinsoku/>
              <w:wordWrap/>
              <w:overflowPunct/>
              <w:topLinePunct w:val="0"/>
              <w:bidi w:val="0"/>
              <w:spacing w:line="24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sz w:val="21"/>
                <w:szCs w:val="21"/>
              </w:rPr>
              <w:t>企业纠正和预防措施的管理符合标准规定要求。</w:t>
            </w:r>
          </w:p>
        </w:tc>
        <w:tc>
          <w:tcPr>
            <w:tcW w:w="577" w:type="dxa"/>
            <w:vAlign w:val="top"/>
          </w:tcPr>
          <w:p>
            <w:pPr>
              <w:keepLines w:val="0"/>
              <w:pageBreakBefore w:val="0"/>
              <w:kinsoku/>
              <w:wordWrap/>
              <w:overflowPunct/>
              <w:topLinePunct w:val="0"/>
              <w:bidi w:val="0"/>
              <w:spacing w:line="24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符合</w:t>
            </w:r>
          </w:p>
        </w:tc>
      </w:tr>
    </w:tbl>
    <w:p>
      <w:pPr>
        <w:pStyle w:val="8"/>
      </w:pPr>
      <w:r>
        <w:rPr>
          <w:rFonts w:hint="eastAsia" w:ascii="宋体" w:hAnsi="宋体" w:cs="宋体"/>
        </w:rPr>
        <w:t>说明：不符合标注N</w:t>
      </w: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0"/>
        <w:tblW w:w="147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8"/>
        <w:gridCol w:w="1166"/>
        <w:gridCol w:w="10790"/>
        <w:gridCol w:w="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1858" w:type="dxa"/>
            <w:vMerge w:val="restart"/>
            <w:vAlign w:val="center"/>
          </w:tcPr>
          <w:p>
            <w:pPr>
              <w:pageBreakBefore w:val="0"/>
              <w:widowControl w:val="0"/>
              <w:kinsoku/>
              <w:wordWrap/>
              <w:overflowPunct/>
              <w:topLinePunct w:val="0"/>
              <w:bidi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过程与活动、</w:t>
            </w:r>
          </w:p>
          <w:p>
            <w:pPr>
              <w:pageBreakBefore w:val="0"/>
              <w:widowControl w:val="0"/>
              <w:kinsoku/>
              <w:wordWrap/>
              <w:overflowPunct/>
              <w:topLinePunct w:val="0"/>
              <w:bidi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抽样计划</w:t>
            </w:r>
          </w:p>
        </w:tc>
        <w:tc>
          <w:tcPr>
            <w:tcW w:w="1166" w:type="dxa"/>
            <w:vMerge w:val="restart"/>
            <w:vAlign w:val="center"/>
          </w:tcPr>
          <w:p>
            <w:pPr>
              <w:pageBreakBefore w:val="0"/>
              <w:widowControl w:val="0"/>
              <w:kinsoku/>
              <w:wordWrap/>
              <w:overflowPunct/>
              <w:topLinePunct w:val="0"/>
              <w:bidi w:val="0"/>
              <w:spacing w:line="240" w:lineRule="auto"/>
              <w:rPr>
                <w:rFonts w:hint="eastAsia" w:ascii="宋体" w:hAnsi="宋体" w:eastAsia="宋体" w:cs="宋体"/>
                <w:sz w:val="21"/>
                <w:szCs w:val="21"/>
              </w:rPr>
            </w:pPr>
            <w:r>
              <w:rPr>
                <w:rFonts w:hint="eastAsia" w:ascii="宋体" w:hAnsi="宋体" w:eastAsia="宋体" w:cs="宋体"/>
                <w:sz w:val="21"/>
                <w:szCs w:val="21"/>
              </w:rPr>
              <w:t>涉及</w:t>
            </w:r>
          </w:p>
          <w:p>
            <w:pPr>
              <w:pageBreakBefore w:val="0"/>
              <w:widowControl w:val="0"/>
              <w:kinsoku/>
              <w:wordWrap/>
              <w:overflowPunct/>
              <w:topLinePunct w:val="0"/>
              <w:bidi w:val="0"/>
              <w:spacing w:line="240" w:lineRule="auto"/>
              <w:rPr>
                <w:rFonts w:hint="eastAsia" w:ascii="宋体" w:hAnsi="宋体" w:eastAsia="宋体" w:cs="宋体"/>
                <w:sz w:val="21"/>
                <w:szCs w:val="21"/>
              </w:rPr>
            </w:pPr>
            <w:r>
              <w:rPr>
                <w:rFonts w:hint="eastAsia" w:ascii="宋体" w:hAnsi="宋体" w:eastAsia="宋体" w:cs="宋体"/>
                <w:sz w:val="21"/>
                <w:szCs w:val="21"/>
              </w:rPr>
              <w:t>条款</w:t>
            </w:r>
          </w:p>
        </w:tc>
        <w:tc>
          <w:tcPr>
            <w:tcW w:w="10790" w:type="dxa"/>
            <w:vAlign w:val="center"/>
          </w:tcPr>
          <w:p>
            <w:pPr>
              <w:pageBreakBefore w:val="0"/>
              <w:widowControl w:val="0"/>
              <w:kinsoku/>
              <w:wordWrap/>
              <w:overflowPunct/>
              <w:topLinePunct w:val="0"/>
              <w:bidi w:val="0"/>
              <w:spacing w:line="240" w:lineRule="auto"/>
              <w:rPr>
                <w:rFonts w:hint="eastAsia" w:ascii="宋体" w:hAnsi="宋体" w:eastAsia="宋体" w:cs="宋体"/>
                <w:sz w:val="21"/>
                <w:szCs w:val="21"/>
              </w:rPr>
            </w:pPr>
            <w:r>
              <w:rPr>
                <w:rFonts w:hint="eastAsia" w:ascii="宋体" w:hAnsi="宋体" w:eastAsia="宋体" w:cs="宋体"/>
                <w:sz w:val="21"/>
                <w:szCs w:val="21"/>
              </w:rPr>
              <w:t xml:space="preserve">受审核部门：销售部  主管领导：董军   陪同人员：郝妍  </w:t>
            </w:r>
            <w:r>
              <w:rPr>
                <w:rFonts w:hint="eastAsia" w:ascii="宋体" w:hAnsi="宋体" w:eastAsia="宋体" w:cs="宋体"/>
                <w:bCs/>
                <w:sz w:val="21"/>
                <w:szCs w:val="21"/>
              </w:rPr>
              <w:t xml:space="preserve"> </w:t>
            </w:r>
          </w:p>
        </w:tc>
        <w:tc>
          <w:tcPr>
            <w:tcW w:w="895" w:type="dxa"/>
            <w:vMerge w:val="restart"/>
            <w:vAlign w:val="center"/>
          </w:tcPr>
          <w:p>
            <w:pPr>
              <w:pageBreakBefore w:val="0"/>
              <w:widowControl w:val="0"/>
              <w:kinsoku/>
              <w:wordWrap/>
              <w:overflowPunct/>
              <w:topLinePunct w:val="0"/>
              <w:bidi w:val="0"/>
              <w:spacing w:line="240" w:lineRule="auto"/>
              <w:rPr>
                <w:rFonts w:hint="eastAsia" w:ascii="宋体" w:hAnsi="宋体" w:eastAsia="宋体" w:cs="宋体"/>
                <w:sz w:val="21"/>
                <w:szCs w:val="21"/>
              </w:rPr>
            </w:pPr>
            <w:r>
              <w:rPr>
                <w:rFonts w:hint="eastAsia" w:ascii="宋体" w:hAnsi="宋体" w:eastAsia="宋体" w:cs="宋体"/>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858" w:type="dxa"/>
            <w:vMerge w:val="continue"/>
            <w:vAlign w:val="center"/>
          </w:tcPr>
          <w:p>
            <w:pPr>
              <w:pageBreakBefore w:val="0"/>
              <w:widowControl w:val="0"/>
              <w:kinsoku/>
              <w:wordWrap/>
              <w:overflowPunct/>
              <w:topLinePunct w:val="0"/>
              <w:bidi w:val="0"/>
              <w:spacing w:line="240" w:lineRule="auto"/>
              <w:rPr>
                <w:rFonts w:hint="eastAsia" w:ascii="宋体" w:hAnsi="宋体" w:eastAsia="宋体" w:cs="宋体"/>
                <w:sz w:val="21"/>
                <w:szCs w:val="21"/>
              </w:rPr>
            </w:pPr>
          </w:p>
        </w:tc>
        <w:tc>
          <w:tcPr>
            <w:tcW w:w="1166" w:type="dxa"/>
            <w:vMerge w:val="continue"/>
            <w:vAlign w:val="center"/>
          </w:tcPr>
          <w:p>
            <w:pPr>
              <w:pageBreakBefore w:val="0"/>
              <w:widowControl w:val="0"/>
              <w:kinsoku/>
              <w:wordWrap/>
              <w:overflowPunct/>
              <w:topLinePunct w:val="0"/>
              <w:bidi w:val="0"/>
              <w:spacing w:line="240" w:lineRule="auto"/>
              <w:rPr>
                <w:rFonts w:hint="eastAsia" w:ascii="宋体" w:hAnsi="宋体" w:eastAsia="宋体" w:cs="宋体"/>
                <w:sz w:val="21"/>
                <w:szCs w:val="21"/>
              </w:rPr>
            </w:pPr>
          </w:p>
        </w:tc>
        <w:tc>
          <w:tcPr>
            <w:tcW w:w="10790" w:type="dxa"/>
            <w:vAlign w:val="center"/>
          </w:tcPr>
          <w:p>
            <w:pPr>
              <w:pageBreakBefore w:val="0"/>
              <w:widowControl w:val="0"/>
              <w:kinsoku/>
              <w:wordWrap/>
              <w:overflowPunct/>
              <w:topLinePunct w:val="0"/>
              <w:bidi w:val="0"/>
              <w:spacing w:line="240" w:lineRule="auto"/>
              <w:rPr>
                <w:rFonts w:hint="eastAsia" w:ascii="宋体" w:hAnsi="宋体" w:eastAsia="宋体" w:cs="宋体"/>
                <w:sz w:val="21"/>
                <w:szCs w:val="21"/>
              </w:rPr>
            </w:pPr>
            <w:r>
              <w:rPr>
                <w:rFonts w:hint="eastAsia" w:ascii="宋体" w:hAnsi="宋体" w:eastAsia="宋体" w:cs="宋体"/>
                <w:sz w:val="21"/>
                <w:szCs w:val="21"/>
              </w:rPr>
              <w:t xml:space="preserve">审核员：  </w:t>
            </w:r>
            <w:r>
              <w:rPr>
                <w:rFonts w:hint="eastAsia" w:ascii="宋体" w:hAnsi="宋体" w:eastAsia="宋体" w:cs="宋体"/>
                <w:sz w:val="21"/>
                <w:szCs w:val="21"/>
                <w:lang w:val="en-US" w:eastAsia="zh-CN"/>
              </w:rPr>
              <w:t>余家龙</w:t>
            </w:r>
            <w:r>
              <w:rPr>
                <w:rFonts w:hint="eastAsia" w:ascii="宋体" w:hAnsi="宋体" w:eastAsia="宋体" w:cs="宋体"/>
                <w:sz w:val="21"/>
                <w:szCs w:val="21"/>
              </w:rPr>
              <w:t xml:space="preserve">     审核时间：2021年8月1</w:t>
            </w:r>
            <w:r>
              <w:rPr>
                <w:rFonts w:hint="eastAsia" w:ascii="宋体" w:hAnsi="宋体" w:eastAsia="宋体" w:cs="宋体"/>
                <w:sz w:val="21"/>
                <w:szCs w:val="21"/>
                <w:lang w:val="en-US" w:eastAsia="zh-CN"/>
              </w:rPr>
              <w:t>1</w:t>
            </w:r>
            <w:r>
              <w:rPr>
                <w:rFonts w:hint="eastAsia" w:ascii="宋体" w:hAnsi="宋体" w:eastAsia="宋体" w:cs="宋体"/>
                <w:sz w:val="21"/>
                <w:szCs w:val="21"/>
              </w:rPr>
              <w:t>日-1</w:t>
            </w:r>
            <w:r>
              <w:rPr>
                <w:rFonts w:hint="eastAsia" w:ascii="宋体" w:hAnsi="宋体" w:eastAsia="宋体" w:cs="宋体"/>
                <w:sz w:val="21"/>
                <w:szCs w:val="21"/>
                <w:lang w:val="en-US" w:eastAsia="zh-CN"/>
              </w:rPr>
              <w:t>2</w:t>
            </w:r>
            <w:r>
              <w:rPr>
                <w:rFonts w:hint="eastAsia" w:ascii="宋体" w:hAnsi="宋体" w:eastAsia="宋体" w:cs="宋体"/>
                <w:sz w:val="21"/>
                <w:szCs w:val="21"/>
              </w:rPr>
              <w:t>日</w:t>
            </w:r>
          </w:p>
        </w:tc>
        <w:tc>
          <w:tcPr>
            <w:tcW w:w="895" w:type="dxa"/>
            <w:vMerge w:val="continue"/>
          </w:tcPr>
          <w:p>
            <w:pPr>
              <w:pageBreakBefore w:val="0"/>
              <w:widowControl w:val="0"/>
              <w:kinsoku/>
              <w:wordWrap/>
              <w:overflowPunct/>
              <w:topLinePunct w:val="0"/>
              <w:bidi w:val="0"/>
              <w:spacing w:line="24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jc w:val="center"/>
        </w:trPr>
        <w:tc>
          <w:tcPr>
            <w:tcW w:w="1858" w:type="dxa"/>
            <w:vMerge w:val="continue"/>
            <w:vAlign w:val="center"/>
          </w:tcPr>
          <w:p>
            <w:pPr>
              <w:pageBreakBefore w:val="0"/>
              <w:widowControl w:val="0"/>
              <w:kinsoku/>
              <w:wordWrap/>
              <w:overflowPunct/>
              <w:topLinePunct w:val="0"/>
              <w:bidi w:val="0"/>
              <w:spacing w:line="240" w:lineRule="auto"/>
              <w:rPr>
                <w:rFonts w:hint="eastAsia" w:ascii="宋体" w:hAnsi="宋体" w:eastAsia="宋体" w:cs="宋体"/>
                <w:sz w:val="21"/>
                <w:szCs w:val="21"/>
              </w:rPr>
            </w:pPr>
          </w:p>
        </w:tc>
        <w:tc>
          <w:tcPr>
            <w:tcW w:w="1166" w:type="dxa"/>
            <w:vMerge w:val="continue"/>
            <w:vAlign w:val="center"/>
          </w:tcPr>
          <w:p>
            <w:pPr>
              <w:pageBreakBefore w:val="0"/>
              <w:widowControl w:val="0"/>
              <w:kinsoku/>
              <w:wordWrap/>
              <w:overflowPunct/>
              <w:topLinePunct w:val="0"/>
              <w:bidi w:val="0"/>
              <w:spacing w:line="240" w:lineRule="auto"/>
              <w:rPr>
                <w:rFonts w:hint="eastAsia" w:ascii="宋体" w:hAnsi="宋体" w:eastAsia="宋体" w:cs="宋体"/>
                <w:sz w:val="21"/>
                <w:szCs w:val="21"/>
              </w:rPr>
            </w:pPr>
          </w:p>
        </w:tc>
        <w:tc>
          <w:tcPr>
            <w:tcW w:w="10790"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18"/>
                <w:szCs w:val="18"/>
                <w:highlight w:val="none"/>
              </w:rPr>
            </w:pPr>
            <w:r>
              <w:rPr>
                <w:rFonts w:hint="eastAsia" w:ascii="宋体" w:hAnsi="宋体" w:eastAsia="宋体" w:cs="宋体"/>
                <w:color w:val="000000"/>
                <w:sz w:val="21"/>
                <w:szCs w:val="21"/>
                <w:lang w:val="en-GB"/>
              </w:rPr>
              <w:t>审核过程：</w:t>
            </w:r>
            <w:r>
              <w:rPr>
                <w:rFonts w:hint="eastAsia" w:ascii="宋体" w:hAnsi="宋体" w:eastAsia="宋体" w:cs="宋体"/>
                <w:color w:val="auto"/>
                <w:sz w:val="18"/>
                <w:szCs w:val="18"/>
                <w:highlight w:val="none"/>
                <w:lang w:eastAsia="zh-CN"/>
              </w:rPr>
              <w:t>QMS</w:t>
            </w:r>
            <w:r>
              <w:rPr>
                <w:rFonts w:hint="eastAsia" w:ascii="宋体" w:hAnsi="宋体" w:eastAsia="宋体" w:cs="宋体"/>
                <w:color w:val="auto"/>
                <w:sz w:val="18"/>
                <w:szCs w:val="18"/>
                <w:highlight w:val="none"/>
              </w:rPr>
              <w:t xml:space="preserve"> </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rPr>
              <w:t>5.3岗位/职责 /权限；6.2质量目标及其实现的策划；</w:t>
            </w:r>
            <w:r>
              <w:rPr>
                <w:rFonts w:hint="eastAsia" w:ascii="宋体" w:hAnsi="宋体" w:eastAsia="宋体" w:cs="宋体"/>
                <w:color w:val="auto"/>
                <w:sz w:val="18"/>
                <w:szCs w:val="18"/>
                <w:highlight w:val="none"/>
                <w:lang w:val="en-US" w:eastAsia="zh-CN"/>
              </w:rPr>
              <w:t>7.1.3基础设施；7.1.4过程运行环境；</w:t>
            </w:r>
            <w:r>
              <w:rPr>
                <w:rFonts w:hint="eastAsia" w:ascii="宋体" w:hAnsi="宋体" w:eastAsia="宋体" w:cs="宋体"/>
                <w:color w:val="auto"/>
                <w:sz w:val="18"/>
                <w:szCs w:val="18"/>
                <w:highlight w:val="none"/>
              </w:rPr>
              <w:t>8.1运行策划和控制；8.</w:t>
            </w:r>
            <w:r>
              <w:rPr>
                <w:rFonts w:hint="eastAsia" w:ascii="宋体" w:hAnsi="宋体" w:eastAsia="宋体" w:cs="宋体"/>
                <w:color w:val="auto"/>
                <w:sz w:val="18"/>
                <w:szCs w:val="18"/>
                <w:highlight w:val="none"/>
                <w:lang w:val="en-US" w:eastAsia="zh-CN"/>
              </w:rPr>
              <w:t>2产品和服务的要求</w:t>
            </w:r>
            <w:r>
              <w:rPr>
                <w:rFonts w:hint="eastAsia" w:ascii="宋体" w:hAnsi="宋体" w:eastAsia="宋体" w:cs="宋体"/>
                <w:color w:val="auto"/>
                <w:sz w:val="18"/>
                <w:szCs w:val="18"/>
                <w:highlight w:val="none"/>
              </w:rPr>
              <w:t>；</w:t>
            </w:r>
            <w:r>
              <w:rPr>
                <w:rFonts w:hint="eastAsia" w:ascii="宋体" w:hAnsi="宋体" w:eastAsia="宋体" w:cs="宋体"/>
                <w:color w:val="auto"/>
                <w:sz w:val="18"/>
                <w:szCs w:val="18"/>
                <w:highlight w:val="none"/>
                <w:lang w:val="en-US" w:eastAsia="zh-CN"/>
              </w:rPr>
              <w:t>8.3设计和开发；</w:t>
            </w:r>
            <w:r>
              <w:rPr>
                <w:rFonts w:hint="eastAsia" w:ascii="宋体" w:hAnsi="宋体" w:eastAsia="宋体" w:cs="宋体"/>
                <w:color w:val="auto"/>
                <w:sz w:val="18"/>
                <w:szCs w:val="18"/>
                <w:highlight w:val="none"/>
              </w:rPr>
              <w:t>8.4外部提供供方的控制；8.5.1生产和服务提供的控制；8.5.2标识和可追溯性；8.5.3顾客或外部供方的财产；8.5.4防护；8.5.5交付后的活动；8.5.6更改控制；8.6产品和服务放行；8.7不合格输出的控制；9.1.2顾客满意；</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eastAsia="zh-CN"/>
              </w:rPr>
              <w:t>EMS:</w:t>
            </w:r>
            <w:r>
              <w:rPr>
                <w:rFonts w:hint="eastAsia" w:ascii="宋体" w:hAnsi="宋体" w:eastAsia="宋体" w:cs="宋体"/>
                <w:color w:val="auto"/>
                <w:sz w:val="18"/>
                <w:szCs w:val="18"/>
                <w:highlight w:val="none"/>
              </w:rPr>
              <w:t>5.3组织的角色、职责和权限、6.1.2环境因素；6.2目标及其达成的策划；</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color w:val="auto"/>
                <w:sz w:val="18"/>
                <w:szCs w:val="18"/>
                <w:highlight w:val="none"/>
                <w:lang w:eastAsia="zh-CN"/>
              </w:rPr>
              <w:t>OHSMS:</w:t>
            </w:r>
            <w:r>
              <w:rPr>
                <w:rFonts w:hint="eastAsia" w:ascii="宋体" w:hAnsi="宋体" w:eastAsia="宋体" w:cs="宋体"/>
                <w:color w:val="auto"/>
                <w:sz w:val="18"/>
                <w:szCs w:val="18"/>
                <w:highlight w:val="none"/>
              </w:rPr>
              <w:t>5.3组织的角色、职责和权限；6.1.2危险源辨识和职业安全风险评价；6.2目标及其实现的策划</w:t>
            </w:r>
            <w:r>
              <w:rPr>
                <w:rFonts w:hint="eastAsia" w:ascii="宋体" w:hAnsi="宋体" w:eastAsia="宋体" w:cs="宋体"/>
                <w:color w:val="auto"/>
                <w:sz w:val="21"/>
                <w:szCs w:val="21"/>
                <w:highlight w:val="none"/>
              </w:rPr>
              <w:t>；</w:t>
            </w:r>
            <w:r>
              <w:rPr>
                <w:rFonts w:hint="eastAsia" w:ascii="宋体" w:hAnsi="宋体" w:eastAsia="宋体" w:cs="宋体"/>
                <w:color w:val="000000"/>
                <w:sz w:val="21"/>
                <w:szCs w:val="21"/>
                <w:lang w:val="en-GB"/>
              </w:rPr>
              <w:t xml:space="preserve"> </w:t>
            </w:r>
          </w:p>
        </w:tc>
        <w:tc>
          <w:tcPr>
            <w:tcW w:w="895" w:type="dxa"/>
            <w:vMerge w:val="continue"/>
          </w:tcPr>
          <w:p>
            <w:pPr>
              <w:pageBreakBefore w:val="0"/>
              <w:widowControl w:val="0"/>
              <w:kinsoku/>
              <w:wordWrap/>
              <w:overflowPunct/>
              <w:topLinePunct w:val="0"/>
              <w:bidi w:val="0"/>
              <w:spacing w:line="24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858" w:type="dxa"/>
            <w:vAlign w:val="center"/>
          </w:tcPr>
          <w:p>
            <w:pPr>
              <w:pageBreakBefore w:val="0"/>
              <w:widowControl w:val="0"/>
              <w:kinsoku/>
              <w:wordWrap/>
              <w:overflowPunct/>
              <w:topLinePunct w:val="0"/>
              <w:bidi w:val="0"/>
              <w:spacing w:line="240" w:lineRule="auto"/>
              <w:rPr>
                <w:rFonts w:hint="eastAsia" w:ascii="宋体" w:hAnsi="宋体" w:eastAsia="宋体" w:cs="宋体"/>
                <w:sz w:val="21"/>
                <w:szCs w:val="21"/>
              </w:rPr>
            </w:pPr>
            <w:r>
              <w:rPr>
                <w:rFonts w:hint="eastAsia" w:ascii="宋体" w:hAnsi="宋体" w:eastAsia="宋体" w:cs="宋体"/>
                <w:color w:val="auto"/>
                <w:sz w:val="21"/>
                <w:szCs w:val="21"/>
                <w:highlight w:val="none"/>
              </w:rPr>
              <w:t>岗位/职责 /权限</w:t>
            </w:r>
          </w:p>
        </w:tc>
        <w:tc>
          <w:tcPr>
            <w:tcW w:w="1166" w:type="dxa"/>
            <w:vAlign w:val="center"/>
          </w:tcPr>
          <w:p>
            <w:pPr>
              <w:pageBreakBefore w:val="0"/>
              <w:widowControl w:val="0"/>
              <w:kinsoku/>
              <w:wordWrap/>
              <w:overflowPunct/>
              <w:topLinePunct w:val="0"/>
              <w:bidi w:val="0"/>
              <w:spacing w:line="240" w:lineRule="auto"/>
              <w:ind w:right="-6" w:rightChars="-3"/>
              <w:jc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QEO5.3</w:t>
            </w:r>
          </w:p>
        </w:tc>
        <w:tc>
          <w:tcPr>
            <w:tcW w:w="10790" w:type="dxa"/>
            <w:vAlign w:val="center"/>
          </w:tcPr>
          <w:p>
            <w:pPr>
              <w:pageBreakBefore w:val="0"/>
              <w:widowControl w:val="0"/>
              <w:kinsoku/>
              <w:wordWrap/>
              <w:overflowPunct/>
              <w:topLinePunct w:val="0"/>
              <w:bidi w:val="0"/>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销售部管理人员为董军，询问部门职责：</w:t>
            </w:r>
          </w:p>
          <w:p>
            <w:pPr>
              <w:pStyle w:val="18"/>
              <w:pageBreakBefore w:val="0"/>
              <w:widowControl w:val="0"/>
              <w:kinsoku/>
              <w:wordWrap/>
              <w:overflowPunct/>
              <w:topLinePunct w:val="0"/>
              <w:bidi w:val="0"/>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a)贯彻公司质量、环境和职业健康安全方针，完成质量、环境和职业健康安全目标，对公司合同/订单、顾客服务负责；</w:t>
            </w:r>
          </w:p>
          <w:p>
            <w:pPr>
              <w:pStyle w:val="18"/>
              <w:pageBreakBefore w:val="0"/>
              <w:widowControl w:val="0"/>
              <w:kinsoku/>
              <w:wordWrap/>
              <w:overflowPunct/>
              <w:topLinePunct w:val="0"/>
              <w:bidi w:val="0"/>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b)组织合同评审和协调活动，在合同或订单签订之前，对每份合同或订单按要求进行评审，在完成评审后代表公司对外签订合同或订单；</w:t>
            </w:r>
          </w:p>
          <w:p>
            <w:pPr>
              <w:pStyle w:val="18"/>
              <w:pageBreakBefore w:val="0"/>
              <w:widowControl w:val="0"/>
              <w:kinsoku/>
              <w:wordWrap/>
              <w:overflowPunct/>
              <w:topLinePunct w:val="0"/>
              <w:bidi w:val="0"/>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c)跟踪和反馈市场情况，对顾客的需求（包括要求</w:t>
            </w:r>
            <w:bookmarkStart w:id="1" w:name="_GoBack"/>
            <w:bookmarkEnd w:id="1"/>
            <w:r>
              <w:rPr>
                <w:rFonts w:hint="eastAsia" w:ascii="宋体" w:hAnsi="宋体" w:eastAsia="宋体" w:cs="宋体"/>
                <w:sz w:val="21"/>
                <w:szCs w:val="21"/>
                <w:lang w:val="en-US" w:eastAsia="zh-CN"/>
              </w:rPr>
              <w:t>、建议、意见、抱怨等）进行综合分析，按不同情况及时报告（反馈）相关部门和总经理，并确保在适当的时间内向顾客作出答复；</w:t>
            </w:r>
          </w:p>
          <w:p>
            <w:pPr>
              <w:pStyle w:val="18"/>
              <w:pageBreakBefore w:val="0"/>
              <w:widowControl w:val="0"/>
              <w:kinsoku/>
              <w:wordWrap/>
              <w:overflowPunct/>
              <w:topLinePunct w:val="0"/>
              <w:bidi w:val="0"/>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d)根据销售市场的动态,综合分析国外市场和国内市场对产品的需求情况,掌握产品销售中出现的热销品种和发展趋势,为公司确定产品方向提供市场依据；</w:t>
            </w:r>
          </w:p>
          <w:p>
            <w:pPr>
              <w:pStyle w:val="18"/>
              <w:pageBreakBefore w:val="0"/>
              <w:widowControl w:val="0"/>
              <w:kinsoku/>
              <w:wordWrap/>
              <w:overflowPunct/>
              <w:topLinePunct w:val="0"/>
              <w:bidi w:val="0"/>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e)及时收集来自顾客的质量信息，包括顾客投诉，并反馈给有关部门，组织对顾客信息的处理，及时将落实情况回复顾客，取得顾客满意；</w:t>
            </w:r>
          </w:p>
          <w:p>
            <w:pPr>
              <w:pStyle w:val="18"/>
              <w:pageBreakBefore w:val="0"/>
              <w:widowControl w:val="0"/>
              <w:kinsoku/>
              <w:wordWrap/>
              <w:overflowPunct/>
              <w:topLinePunct w:val="0"/>
              <w:bidi w:val="0"/>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f)负责对合格供应商的选择、评定和对外购、外协物品的价格核定、询价等工作向供应商施加环保、安全影响，并定期对合格供应商进行业绩评价；</w:t>
            </w:r>
          </w:p>
          <w:p>
            <w:pPr>
              <w:pStyle w:val="18"/>
              <w:pageBreakBefore w:val="0"/>
              <w:widowControl w:val="0"/>
              <w:kinsoku/>
              <w:wordWrap/>
              <w:overflowPunct/>
              <w:topLinePunct w:val="0"/>
              <w:bidi w:val="0"/>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g)按规定部署销售部门的顾客满意度调查工作，并作好必要的顾客满意度分析报告。</w:t>
            </w:r>
          </w:p>
          <w:p>
            <w:pPr>
              <w:pStyle w:val="18"/>
              <w:pageBreakBefore w:val="0"/>
              <w:widowControl w:val="0"/>
              <w:kinsoku/>
              <w:wordWrap/>
              <w:overflowPunct/>
              <w:topLinePunct w:val="0"/>
              <w:bidi w:val="0"/>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h)负责本部门的环境因素识别，完成本部门目标、指标和环境管理方案的实施；</w:t>
            </w:r>
          </w:p>
          <w:p>
            <w:pPr>
              <w:pStyle w:val="18"/>
              <w:pageBreakBefore w:val="0"/>
              <w:widowControl w:val="0"/>
              <w:kinsoku/>
              <w:wordWrap/>
              <w:overflowPunct/>
              <w:topLinePunct w:val="0"/>
              <w:bidi w:val="0"/>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i)负责对本部门的危险源进行辨识、风险评价和控制措施的确定，提出职业健康安全管理方案并实施；</w:t>
            </w:r>
          </w:p>
          <w:p>
            <w:pPr>
              <w:pStyle w:val="18"/>
              <w:pageBreakBefore w:val="0"/>
              <w:widowControl w:val="0"/>
              <w:kinsoku/>
              <w:wordWrap/>
              <w:overflowPunct/>
              <w:topLinePunct w:val="0"/>
              <w:bidi w:val="0"/>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j)配合体系的内、外部审核，负责有关不符合项的整改工作；</w:t>
            </w:r>
          </w:p>
          <w:p>
            <w:pPr>
              <w:pStyle w:val="18"/>
              <w:pageBreakBefore w:val="0"/>
              <w:widowControl w:val="0"/>
              <w:kinsoku/>
              <w:wordWrap/>
              <w:overflowPunct/>
              <w:topLinePunct w:val="0"/>
              <w:bidi w:val="0"/>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k)做好归口文件和资料的存档、发放、更改管理工作，负责本部门的记录管理。</w:t>
            </w:r>
          </w:p>
          <w:p>
            <w:pPr>
              <w:pStyle w:val="18"/>
              <w:pageBreakBefore w:val="0"/>
              <w:widowControl w:val="0"/>
              <w:kinsoku/>
              <w:wordWrap/>
              <w:overflowPunct/>
              <w:topLinePunct w:val="0"/>
              <w:bidi w:val="0"/>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l)按规定对本部门的管理目标完成进行分析评价，改进和提高，确保年度目标达成。</w:t>
            </w:r>
          </w:p>
          <w:p>
            <w:pPr>
              <w:pStyle w:val="18"/>
              <w:pageBreakBefore w:val="0"/>
              <w:widowControl w:val="0"/>
              <w:kinsoku/>
              <w:wordWrap/>
              <w:overflowPunct/>
              <w:topLinePunct w:val="0"/>
              <w:bidi w:val="0"/>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部门职责合理，符合要求。</w:t>
            </w:r>
          </w:p>
        </w:tc>
        <w:tc>
          <w:tcPr>
            <w:tcW w:w="895" w:type="dxa"/>
            <w:vAlign w:val="top"/>
          </w:tcPr>
          <w:p>
            <w:pPr>
              <w:keepLines w:val="0"/>
              <w:pageBreakBefore w:val="0"/>
              <w:widowControl w:val="0"/>
              <w:kinsoku/>
              <w:wordWrap/>
              <w:overflowPunct/>
              <w:topLinePunct w:val="0"/>
              <w:bidi w:val="0"/>
              <w:spacing w:line="24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858" w:type="dxa"/>
            <w:vAlign w:val="center"/>
          </w:tcPr>
          <w:p>
            <w:pPr>
              <w:pageBreakBefore w:val="0"/>
              <w:widowControl w:val="0"/>
              <w:kinsoku/>
              <w:wordWrap/>
              <w:overflowPunct/>
              <w:topLinePunct w:val="0"/>
              <w:bidi w:val="0"/>
              <w:spacing w:line="240" w:lineRule="auto"/>
              <w:rPr>
                <w:rFonts w:hint="eastAsia" w:ascii="宋体" w:hAnsi="宋体" w:eastAsia="宋体" w:cs="宋体"/>
                <w:sz w:val="21"/>
                <w:szCs w:val="21"/>
              </w:rPr>
            </w:pPr>
            <w:r>
              <w:rPr>
                <w:rFonts w:hint="eastAsia" w:ascii="宋体" w:hAnsi="宋体" w:eastAsia="宋体" w:cs="宋体"/>
                <w:color w:val="auto"/>
                <w:sz w:val="21"/>
                <w:szCs w:val="21"/>
                <w:highlight w:val="none"/>
              </w:rPr>
              <w:t>目标及其实现的策划</w:t>
            </w:r>
          </w:p>
        </w:tc>
        <w:tc>
          <w:tcPr>
            <w:tcW w:w="1166" w:type="dxa"/>
            <w:vAlign w:val="center"/>
          </w:tcPr>
          <w:p>
            <w:pPr>
              <w:pageBreakBefore w:val="0"/>
              <w:widowControl w:val="0"/>
              <w:kinsoku/>
              <w:wordWrap/>
              <w:overflowPunct/>
              <w:topLinePunct w:val="0"/>
              <w:bidi w:val="0"/>
              <w:spacing w:line="240" w:lineRule="auto"/>
              <w:ind w:right="-6" w:rightChars="-3"/>
              <w:jc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QEO6.2</w:t>
            </w:r>
          </w:p>
        </w:tc>
        <w:tc>
          <w:tcPr>
            <w:tcW w:w="10790" w:type="dxa"/>
            <w:vAlign w:val="center"/>
          </w:tcPr>
          <w:p>
            <w:pPr>
              <w:pageBreakBefore w:val="0"/>
              <w:widowControl w:val="0"/>
              <w:kinsoku/>
              <w:wordWrap/>
              <w:overflowPunct/>
              <w:topLinePunct w:val="0"/>
              <w:autoSpaceDE/>
              <w:autoSpaceDN/>
              <w:bidi w:val="0"/>
              <w:snapToGrid/>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rPr>
              <w:t>●分解到该部门的质量</w:t>
            </w:r>
            <w:r>
              <w:rPr>
                <w:rFonts w:hint="eastAsia" w:ascii="宋体" w:hAnsi="宋体" w:eastAsia="宋体" w:cs="宋体"/>
                <w:sz w:val="21"/>
                <w:szCs w:val="21"/>
                <w:lang w:val="en-US" w:eastAsia="zh-CN"/>
              </w:rPr>
              <w:t>/环境/安全</w:t>
            </w:r>
            <w:r>
              <w:rPr>
                <w:rFonts w:hint="eastAsia" w:ascii="宋体" w:hAnsi="宋体" w:eastAsia="宋体" w:cs="宋体"/>
                <w:sz w:val="21"/>
                <w:szCs w:val="21"/>
              </w:rPr>
              <w:t>目标及完成情况如下：</w:t>
            </w:r>
            <w:r>
              <w:rPr>
                <w:rFonts w:hint="eastAsia" w:ascii="宋体" w:hAnsi="宋体" w:eastAsia="宋体" w:cs="宋体"/>
                <w:sz w:val="21"/>
                <w:szCs w:val="21"/>
                <w:lang w:val="en-US" w:eastAsia="zh-CN"/>
              </w:rPr>
              <w:t xml:space="preserve">  日期2022年1月-6月</w:t>
            </w:r>
          </w:p>
          <w:p>
            <w:pPr>
              <w:pStyle w:val="17"/>
              <w:pageBreakBefore w:val="0"/>
              <w:widowControl w:val="0"/>
              <w:kinsoku/>
              <w:wordWrap/>
              <w:overflowPunct/>
              <w:topLinePunct w:val="0"/>
              <w:bidi w:val="0"/>
              <w:spacing w:line="240" w:lineRule="auto"/>
              <w:jc w:val="left"/>
              <w:rPr>
                <w:rFonts w:hint="eastAsia" w:ascii="宋体" w:hAnsi="宋体" w:eastAsia="宋体" w:cs="宋体"/>
                <w:sz w:val="21"/>
                <w:szCs w:val="21"/>
                <w:lang w:val="en-US" w:eastAsia="zh-CN"/>
              </w:rPr>
            </w:pPr>
            <w:r>
              <w:rPr>
                <w:rFonts w:hint="eastAsia" w:ascii="宋体" w:hAnsi="宋体" w:eastAsia="宋体" w:cs="宋体"/>
                <w:sz w:val="21"/>
                <w:szCs w:val="21"/>
              </w:rPr>
              <w:t xml:space="preserve">1、客户投诉每年少于3起； </w:t>
            </w:r>
            <w:r>
              <w:rPr>
                <w:rFonts w:hint="eastAsia" w:ascii="宋体" w:hAnsi="宋体" w:eastAsia="宋体" w:cs="宋体"/>
                <w:sz w:val="21"/>
                <w:szCs w:val="21"/>
                <w:lang w:val="en-US" w:eastAsia="zh-CN"/>
              </w:rPr>
              <w:t xml:space="preserve">                     实测：0</w:t>
            </w:r>
          </w:p>
          <w:p>
            <w:pPr>
              <w:pStyle w:val="17"/>
              <w:pageBreakBefore w:val="0"/>
              <w:widowControl w:val="0"/>
              <w:numPr>
                <w:ilvl w:val="0"/>
                <w:numId w:val="2"/>
              </w:numPr>
              <w:kinsoku/>
              <w:wordWrap/>
              <w:overflowPunct/>
              <w:topLinePunct w:val="0"/>
              <w:bidi w:val="0"/>
              <w:spacing w:line="240" w:lineRule="auto"/>
              <w:jc w:val="left"/>
              <w:rPr>
                <w:rFonts w:hint="eastAsia" w:ascii="宋体" w:hAnsi="宋体" w:eastAsia="宋体" w:cs="宋体"/>
                <w:sz w:val="21"/>
                <w:szCs w:val="21"/>
              </w:rPr>
            </w:pPr>
            <w:r>
              <w:rPr>
                <w:rFonts w:hint="eastAsia" w:ascii="宋体" w:hAnsi="宋体" w:eastAsia="宋体" w:cs="宋体"/>
                <w:sz w:val="21"/>
                <w:szCs w:val="21"/>
              </w:rPr>
              <w:t>顾客满意率96%以上；</w:t>
            </w:r>
            <w:r>
              <w:rPr>
                <w:rFonts w:hint="eastAsia" w:ascii="宋体" w:hAnsi="宋体" w:eastAsia="宋体" w:cs="宋体"/>
                <w:sz w:val="21"/>
                <w:szCs w:val="21"/>
                <w:lang w:val="en-US" w:eastAsia="zh-CN"/>
              </w:rPr>
              <w:t xml:space="preserve">                        实测：97%</w:t>
            </w:r>
          </w:p>
          <w:p>
            <w:pPr>
              <w:pStyle w:val="17"/>
              <w:pageBreakBefore w:val="0"/>
              <w:widowControl w:val="0"/>
              <w:kinsoku/>
              <w:wordWrap/>
              <w:overflowPunct/>
              <w:topLinePunct w:val="0"/>
              <w:bidi w:val="0"/>
              <w:spacing w:line="240" w:lineRule="auto"/>
              <w:jc w:val="left"/>
              <w:rPr>
                <w:rFonts w:hint="eastAsia" w:ascii="宋体" w:hAnsi="宋体" w:eastAsia="宋体" w:cs="宋体"/>
                <w:sz w:val="21"/>
                <w:szCs w:val="21"/>
                <w:lang w:val="en-US" w:eastAsia="zh-CN"/>
              </w:rPr>
            </w:pPr>
            <w:r>
              <w:rPr>
                <w:rFonts w:hint="eastAsia" w:ascii="宋体" w:hAnsi="宋体" w:eastAsia="宋体" w:cs="宋体"/>
                <w:sz w:val="21"/>
                <w:szCs w:val="21"/>
              </w:rPr>
              <w:t>3、固体废弃物100%合理分类处理；</w:t>
            </w:r>
            <w:r>
              <w:rPr>
                <w:rFonts w:hint="eastAsia" w:ascii="宋体" w:hAnsi="宋体" w:eastAsia="宋体" w:cs="宋体"/>
                <w:sz w:val="21"/>
                <w:szCs w:val="21"/>
                <w:lang w:val="en-US" w:eastAsia="zh-CN"/>
              </w:rPr>
              <w:t xml:space="preserve">               实测：100%</w:t>
            </w:r>
          </w:p>
          <w:p>
            <w:pPr>
              <w:pStyle w:val="17"/>
              <w:pageBreakBefore w:val="0"/>
              <w:widowControl w:val="0"/>
              <w:kinsoku/>
              <w:wordWrap/>
              <w:overflowPunct/>
              <w:topLinePunct w:val="0"/>
              <w:bidi w:val="0"/>
              <w:spacing w:line="240" w:lineRule="auto"/>
              <w:jc w:val="left"/>
              <w:rPr>
                <w:rFonts w:hint="eastAsia" w:ascii="宋体" w:hAnsi="宋体" w:eastAsia="宋体" w:cs="宋体"/>
                <w:sz w:val="21"/>
                <w:szCs w:val="21"/>
                <w:lang w:val="en-US" w:eastAsia="zh-CN"/>
              </w:rPr>
            </w:pPr>
            <w:r>
              <w:rPr>
                <w:rFonts w:hint="eastAsia" w:ascii="宋体" w:hAnsi="宋体" w:eastAsia="宋体" w:cs="宋体"/>
                <w:sz w:val="21"/>
                <w:szCs w:val="21"/>
              </w:rPr>
              <w:t>4、触电事故发生率为零；</w:t>
            </w:r>
            <w:r>
              <w:rPr>
                <w:rFonts w:hint="eastAsia" w:ascii="宋体" w:hAnsi="宋体" w:eastAsia="宋体" w:cs="宋体"/>
                <w:sz w:val="21"/>
                <w:szCs w:val="21"/>
                <w:lang w:val="en-US" w:eastAsia="zh-CN"/>
              </w:rPr>
              <w:t xml:space="preserve">                       实测：0</w:t>
            </w:r>
          </w:p>
          <w:p>
            <w:pPr>
              <w:pStyle w:val="17"/>
              <w:pageBreakBefore w:val="0"/>
              <w:widowControl w:val="0"/>
              <w:kinsoku/>
              <w:wordWrap/>
              <w:overflowPunct/>
              <w:topLinePunct w:val="0"/>
              <w:bidi w:val="0"/>
              <w:spacing w:line="240" w:lineRule="auto"/>
              <w:jc w:val="left"/>
              <w:rPr>
                <w:rFonts w:hint="eastAsia" w:ascii="宋体" w:hAnsi="宋体" w:eastAsia="宋体" w:cs="宋体"/>
                <w:sz w:val="21"/>
                <w:szCs w:val="21"/>
                <w:lang w:val="en-US" w:eastAsia="zh-CN"/>
              </w:rPr>
            </w:pPr>
            <w:r>
              <w:rPr>
                <w:rFonts w:hint="eastAsia" w:ascii="宋体" w:hAnsi="宋体" w:eastAsia="宋体" w:cs="宋体"/>
                <w:sz w:val="21"/>
                <w:szCs w:val="21"/>
              </w:rPr>
              <w:t>5、各类重伤以上事故发生率为零；</w:t>
            </w:r>
            <w:r>
              <w:rPr>
                <w:rFonts w:hint="eastAsia" w:ascii="宋体" w:hAnsi="宋体" w:eastAsia="宋体" w:cs="宋体"/>
                <w:sz w:val="21"/>
                <w:szCs w:val="21"/>
                <w:lang w:val="en-US" w:eastAsia="zh-CN"/>
              </w:rPr>
              <w:t xml:space="preserve">                  实测：0</w:t>
            </w:r>
          </w:p>
          <w:p>
            <w:pPr>
              <w:pageBreakBefore w:val="0"/>
              <w:widowControl w:val="0"/>
              <w:kinsoku/>
              <w:wordWrap/>
              <w:overflowPunct/>
              <w:topLinePunct w:val="0"/>
              <w:autoSpaceDE/>
              <w:autoSpaceDN/>
              <w:bidi w:val="0"/>
              <w:snapToGrid/>
              <w:spacing w:line="240" w:lineRule="auto"/>
              <w:ind w:firstLine="210" w:firstLineChars="100"/>
              <w:rPr>
                <w:rFonts w:hint="eastAsia" w:ascii="宋体" w:hAnsi="宋体" w:eastAsia="宋体" w:cs="宋体"/>
                <w:sz w:val="21"/>
                <w:szCs w:val="21"/>
                <w:lang w:val="en-US" w:eastAsia="zh-CN"/>
              </w:rPr>
            </w:pPr>
            <w:r>
              <w:rPr>
                <w:rFonts w:hint="eastAsia" w:ascii="宋体" w:hAnsi="宋体" w:eastAsia="宋体" w:cs="宋体"/>
                <w:sz w:val="21"/>
                <w:szCs w:val="21"/>
              </w:rPr>
              <w:t>6、火灾事故发生率为零</w:t>
            </w:r>
            <w:r>
              <w:rPr>
                <w:rFonts w:hint="eastAsia" w:ascii="宋体" w:hAnsi="宋体" w:eastAsia="宋体" w:cs="宋体"/>
                <w:sz w:val="21"/>
                <w:szCs w:val="21"/>
                <w:lang w:val="en-US" w:eastAsia="zh-CN"/>
              </w:rPr>
              <w:t xml:space="preserve">                        实测：0</w:t>
            </w:r>
          </w:p>
          <w:p>
            <w:pPr>
              <w:pageBreakBefore w:val="0"/>
              <w:widowControl w:val="0"/>
              <w:kinsoku/>
              <w:wordWrap/>
              <w:overflowPunct/>
              <w:topLinePunct w:val="0"/>
              <w:autoSpaceDE/>
              <w:autoSpaceDN/>
              <w:bidi w:val="0"/>
              <w:snapToGrid/>
              <w:spacing w:line="240" w:lineRule="auto"/>
              <w:ind w:firstLine="210" w:firstLineChars="100"/>
              <w:rPr>
                <w:rFonts w:hint="eastAsia" w:ascii="宋体" w:hAnsi="宋体" w:eastAsia="宋体" w:cs="宋体"/>
                <w:sz w:val="21"/>
                <w:szCs w:val="21"/>
              </w:rPr>
            </w:pPr>
            <w:r>
              <w:rPr>
                <w:rFonts w:hint="eastAsia" w:ascii="宋体" w:hAnsi="宋体" w:eastAsia="宋体" w:cs="宋体"/>
                <w:sz w:val="21"/>
                <w:szCs w:val="21"/>
              </w:rPr>
              <w:t>●查202</w:t>
            </w:r>
            <w:r>
              <w:rPr>
                <w:rFonts w:hint="eastAsia" w:ascii="宋体" w:hAnsi="宋体" w:eastAsia="宋体" w:cs="宋体"/>
                <w:sz w:val="21"/>
                <w:szCs w:val="21"/>
                <w:lang w:val="en-US" w:eastAsia="zh-CN"/>
              </w:rPr>
              <w:t>2</w:t>
            </w:r>
            <w:r>
              <w:rPr>
                <w:rFonts w:hint="eastAsia" w:ascii="宋体" w:hAnsi="宋体" w:eastAsia="宋体" w:cs="宋体"/>
                <w:sz w:val="21"/>
                <w:szCs w:val="21"/>
              </w:rPr>
              <w:t>年第</w:t>
            </w:r>
            <w:r>
              <w:rPr>
                <w:rFonts w:hint="eastAsia" w:ascii="宋体" w:hAnsi="宋体" w:eastAsia="宋体" w:cs="宋体"/>
                <w:sz w:val="21"/>
                <w:szCs w:val="21"/>
                <w:lang w:val="en-US" w:eastAsia="zh-CN"/>
              </w:rPr>
              <w:t>二</w:t>
            </w:r>
            <w:r>
              <w:rPr>
                <w:rFonts w:hint="eastAsia" w:ascii="宋体" w:hAnsi="宋体" w:eastAsia="宋体" w:cs="宋体"/>
                <w:sz w:val="21"/>
                <w:szCs w:val="21"/>
              </w:rPr>
              <w:t>季度质量目标完成情况：均完成  基本符合要求。</w:t>
            </w:r>
          </w:p>
          <w:p>
            <w:pPr>
              <w:pStyle w:val="3"/>
              <w:pageBreakBefore w:val="0"/>
              <w:widowControl w:val="0"/>
              <w:kinsoku/>
              <w:wordWrap/>
              <w:overflowPunct/>
              <w:topLinePunct w:val="0"/>
              <w:autoSpaceDE/>
              <w:autoSpaceDN/>
              <w:bidi w:val="0"/>
              <w:snapToGrid/>
              <w:spacing w:beforeLines="0" w:afterLines="0" w:line="240" w:lineRule="auto"/>
              <w:jc w:val="left"/>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查环境管理方案：固废分类存放统一处理率100%，</w:t>
            </w:r>
          </w:p>
          <w:p>
            <w:pPr>
              <w:pStyle w:val="3"/>
              <w:pageBreakBefore w:val="0"/>
              <w:widowControl w:val="0"/>
              <w:kinsoku/>
              <w:wordWrap/>
              <w:overflowPunct/>
              <w:topLinePunct w:val="0"/>
              <w:autoSpaceDE/>
              <w:autoSpaceDN/>
              <w:bidi w:val="0"/>
              <w:snapToGrid/>
              <w:spacing w:beforeLines="0" w:afterLines="0" w:line="240" w:lineRule="auto"/>
              <w:jc w:val="left"/>
              <w:rPr>
                <w:rFonts w:hint="eastAsia" w:ascii="宋体" w:hAnsi="宋体" w:eastAsia="宋体" w:cs="宋体"/>
                <w:b/>
                <w:kern w:val="44"/>
                <w:sz w:val="21"/>
                <w:szCs w:val="21"/>
                <w:lang w:val="en-US" w:eastAsia="zh-CN" w:bidi="ar-SA"/>
              </w:rPr>
            </w:pPr>
            <w:r>
              <w:rPr>
                <w:rFonts w:hint="eastAsia" w:ascii="宋体" w:hAnsi="宋体" w:eastAsia="宋体" w:cs="宋体"/>
                <w:b w:val="0"/>
                <w:bCs/>
                <w:sz w:val="21"/>
                <w:szCs w:val="21"/>
                <w:lang w:val="en-US" w:eastAsia="zh-CN"/>
              </w:rPr>
              <w:t>方案：对影响环境人员培训；办公区各种固体废弃物集中回收；设置固废容器；各种固体废弃物集中回收。基本符合要求。</w:t>
            </w:r>
          </w:p>
        </w:tc>
        <w:tc>
          <w:tcPr>
            <w:tcW w:w="895" w:type="dxa"/>
            <w:vAlign w:val="top"/>
          </w:tcPr>
          <w:p>
            <w:pPr>
              <w:keepLines w:val="0"/>
              <w:pageBreakBefore w:val="0"/>
              <w:widowControl w:val="0"/>
              <w:kinsoku/>
              <w:wordWrap/>
              <w:overflowPunct/>
              <w:topLinePunct w:val="0"/>
              <w:bidi w:val="0"/>
              <w:spacing w:line="24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858" w:type="dxa"/>
            <w:vAlign w:val="center"/>
          </w:tcPr>
          <w:p>
            <w:pPr>
              <w:pageBreakBefore w:val="0"/>
              <w:widowControl w:val="0"/>
              <w:kinsoku/>
              <w:wordWrap/>
              <w:overflowPunct/>
              <w:topLinePunct w:val="0"/>
              <w:bidi w:val="0"/>
              <w:spacing w:line="240" w:lineRule="auto"/>
              <w:rPr>
                <w:rFonts w:hint="eastAsia" w:ascii="宋体" w:hAnsi="宋体" w:eastAsia="宋体" w:cs="宋体"/>
                <w:sz w:val="21"/>
                <w:szCs w:val="21"/>
                <w:lang w:val="en-US" w:eastAsia="zh-CN"/>
              </w:rPr>
            </w:pPr>
            <w:r>
              <w:rPr>
                <w:rFonts w:hint="eastAsia" w:ascii="宋体" w:hAnsi="宋体" w:eastAsia="宋体" w:cs="宋体"/>
                <w:color w:val="auto"/>
                <w:sz w:val="21"/>
                <w:szCs w:val="21"/>
                <w:highlight w:val="none"/>
              </w:rPr>
              <w:t>环境因素</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危险源辨识和职业安全风险评价</w:t>
            </w:r>
          </w:p>
        </w:tc>
        <w:tc>
          <w:tcPr>
            <w:tcW w:w="1166" w:type="dxa"/>
            <w:vAlign w:val="center"/>
          </w:tcPr>
          <w:p>
            <w:pPr>
              <w:pageBreakBefore w:val="0"/>
              <w:widowControl w:val="0"/>
              <w:kinsoku/>
              <w:wordWrap/>
              <w:overflowPunct/>
              <w:topLinePunct w:val="0"/>
              <w:bidi w:val="0"/>
              <w:spacing w:line="240" w:lineRule="auto"/>
              <w:ind w:right="-6" w:rightChars="-3"/>
              <w:jc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EO6.1.2</w:t>
            </w:r>
          </w:p>
        </w:tc>
        <w:tc>
          <w:tcPr>
            <w:tcW w:w="10790" w:type="dxa"/>
            <w:vAlign w:val="center"/>
          </w:tcPr>
          <w:p>
            <w:pPr>
              <w:pageBreakBefore w:val="0"/>
              <w:widowControl w:val="0"/>
              <w:kinsoku/>
              <w:wordWrap/>
              <w:overflowPunct/>
              <w:topLinePunct w:val="0"/>
              <w:bidi w:val="0"/>
              <w:spacing w:line="240" w:lineRule="auto"/>
              <w:ind w:firstLine="420" w:firstLineChars="200"/>
              <w:rPr>
                <w:rFonts w:hint="eastAsia" w:ascii="宋体" w:hAnsi="宋体" w:eastAsia="宋体" w:cs="宋体"/>
                <w:color w:val="000000"/>
                <w:sz w:val="21"/>
                <w:szCs w:val="21"/>
                <w:lang w:val="en-GB"/>
              </w:rPr>
            </w:pPr>
            <w:r>
              <w:rPr>
                <w:rFonts w:hint="eastAsia" w:ascii="宋体" w:hAnsi="宋体" w:eastAsia="宋体" w:cs="宋体"/>
                <w:color w:val="000000"/>
                <w:sz w:val="21"/>
                <w:szCs w:val="21"/>
                <w:lang w:val="en-GB"/>
              </w:rPr>
              <w:t>编制了《环境因素识别及评价控制程序》，规定重大环境因素评定</w:t>
            </w:r>
            <w:r>
              <w:rPr>
                <w:rFonts w:hint="eastAsia" w:ascii="宋体" w:hAnsi="宋体" w:eastAsia="宋体" w:cs="宋体"/>
                <w:color w:val="000000"/>
                <w:sz w:val="21"/>
                <w:szCs w:val="21"/>
              </w:rPr>
              <w:t>程序</w:t>
            </w:r>
            <w:r>
              <w:rPr>
                <w:rFonts w:hint="eastAsia" w:ascii="宋体" w:hAnsi="宋体" w:eastAsia="宋体" w:cs="宋体"/>
                <w:color w:val="000000"/>
                <w:sz w:val="21"/>
                <w:szCs w:val="21"/>
                <w:lang w:val="en-GB"/>
              </w:rPr>
              <w:t>。</w:t>
            </w:r>
          </w:p>
          <w:p>
            <w:pPr>
              <w:pageBreakBefore w:val="0"/>
              <w:widowControl w:val="0"/>
              <w:kinsoku/>
              <w:wordWrap/>
              <w:overflowPunct/>
              <w:topLinePunct w:val="0"/>
              <w:bidi w:val="0"/>
              <w:spacing w:line="240" w:lineRule="auto"/>
              <w:ind w:firstLine="420" w:firstLineChars="200"/>
              <w:rPr>
                <w:rFonts w:hint="eastAsia" w:ascii="宋体" w:hAnsi="宋体" w:eastAsia="宋体" w:cs="宋体"/>
                <w:color w:val="000000"/>
                <w:sz w:val="21"/>
                <w:szCs w:val="21"/>
                <w:lang w:val="en-GB"/>
              </w:rPr>
            </w:pPr>
            <w:r>
              <w:rPr>
                <w:rFonts w:hint="eastAsia" w:ascii="宋体" w:hAnsi="宋体" w:eastAsia="宋体" w:cs="宋体"/>
                <w:color w:val="000000"/>
                <w:sz w:val="21"/>
                <w:szCs w:val="21"/>
                <w:lang w:val="en-GB"/>
              </w:rPr>
              <w:t>提供《环境因素识别评价表》对供销活动生命周期全过程分别进行排查，考虑了大气污染、噪声污染、土壤污染、水污染、废弃物污染、能源和资源消耗、火灾等方面；从过去、现在、将来三种时态；正常、异常和紧急三种。</w:t>
            </w:r>
          </w:p>
          <w:p>
            <w:pPr>
              <w:pageBreakBefore w:val="0"/>
              <w:widowControl w:val="0"/>
              <w:kinsoku/>
              <w:wordWrap/>
              <w:overflowPunct/>
              <w:topLinePunct w:val="0"/>
              <w:bidi w:val="0"/>
              <w:spacing w:line="240" w:lineRule="auto"/>
              <w:ind w:firstLine="420" w:firstLineChars="200"/>
              <w:rPr>
                <w:rFonts w:hint="eastAsia" w:ascii="宋体" w:hAnsi="宋体" w:eastAsia="宋体" w:cs="宋体"/>
                <w:color w:val="000000"/>
                <w:sz w:val="21"/>
                <w:szCs w:val="21"/>
                <w:lang w:val="en-GB"/>
              </w:rPr>
            </w:pPr>
            <w:r>
              <w:rPr>
                <w:rFonts w:hint="eastAsia" w:ascii="宋体" w:hAnsi="宋体" w:eastAsia="宋体" w:cs="宋体"/>
                <w:color w:val="000000"/>
                <w:sz w:val="21"/>
                <w:szCs w:val="21"/>
                <w:lang w:val="en-GB"/>
              </w:rPr>
              <w:t>识别本部门</w:t>
            </w:r>
            <w:r>
              <w:rPr>
                <w:rFonts w:hint="eastAsia" w:ascii="宋体" w:hAnsi="宋体" w:eastAsia="宋体" w:cs="宋体"/>
                <w:color w:val="000000"/>
                <w:sz w:val="21"/>
                <w:szCs w:val="21"/>
              </w:rPr>
              <w:t>采购</w:t>
            </w:r>
            <w:r>
              <w:rPr>
                <w:rFonts w:hint="eastAsia" w:ascii="宋体" w:hAnsi="宋体" w:eastAsia="宋体" w:cs="宋体"/>
                <w:color w:val="000000"/>
                <w:sz w:val="21"/>
                <w:szCs w:val="21"/>
                <w:lang w:val="en-GB"/>
              </w:rPr>
              <w:t>过程各区域环境因素有：废水排放、水电消耗、固体废弃物排放、火灾等。重要环境因素识别有：固体废弃物排放、火灾。</w:t>
            </w:r>
          </w:p>
          <w:p>
            <w:pPr>
              <w:pageBreakBefore w:val="0"/>
              <w:widowControl w:val="0"/>
              <w:kinsoku/>
              <w:wordWrap/>
              <w:overflowPunct/>
              <w:topLinePunct w:val="0"/>
              <w:bidi w:val="0"/>
              <w:spacing w:line="240" w:lineRule="auto"/>
              <w:ind w:firstLine="420" w:firstLineChars="200"/>
              <w:rPr>
                <w:rFonts w:hint="eastAsia" w:ascii="宋体" w:hAnsi="宋体" w:eastAsia="宋体" w:cs="宋体"/>
                <w:color w:val="000000"/>
                <w:sz w:val="21"/>
                <w:szCs w:val="21"/>
                <w:lang w:val="en-GB"/>
              </w:rPr>
            </w:pPr>
            <w:r>
              <w:rPr>
                <w:rFonts w:hint="eastAsia" w:ascii="宋体" w:hAnsi="宋体" w:eastAsia="宋体" w:cs="宋体"/>
                <w:color w:val="000000"/>
                <w:sz w:val="21"/>
                <w:szCs w:val="21"/>
                <w:lang w:val="en-GB"/>
              </w:rPr>
              <w:t>环境因素识别经核实基本齐全</w:t>
            </w:r>
            <w:r>
              <w:rPr>
                <w:rFonts w:hint="eastAsia" w:ascii="宋体" w:hAnsi="宋体" w:eastAsia="宋体" w:cs="宋体"/>
                <w:color w:val="000000"/>
                <w:sz w:val="21"/>
                <w:szCs w:val="21"/>
              </w:rPr>
              <w:t>重要环境因素评价基本合理</w:t>
            </w:r>
            <w:r>
              <w:rPr>
                <w:rFonts w:hint="eastAsia" w:ascii="宋体" w:hAnsi="宋体" w:eastAsia="宋体" w:cs="宋体"/>
                <w:color w:val="000000"/>
                <w:sz w:val="21"/>
                <w:szCs w:val="21"/>
                <w:lang w:val="en-GB"/>
              </w:rPr>
              <w:t>。</w:t>
            </w:r>
          </w:p>
          <w:p>
            <w:pPr>
              <w:pageBreakBefore w:val="0"/>
              <w:widowControl w:val="0"/>
              <w:kinsoku/>
              <w:wordWrap/>
              <w:overflowPunct/>
              <w:topLinePunct w:val="0"/>
              <w:bidi w:val="0"/>
              <w:spacing w:line="240" w:lineRule="auto"/>
              <w:ind w:firstLine="420" w:firstLineChars="200"/>
              <w:rPr>
                <w:rFonts w:hint="eastAsia" w:ascii="宋体" w:hAnsi="宋体" w:eastAsia="宋体" w:cs="宋体"/>
                <w:color w:val="000000"/>
                <w:sz w:val="21"/>
                <w:szCs w:val="21"/>
                <w:lang w:val="en-GB"/>
              </w:rPr>
            </w:pPr>
            <w:r>
              <w:rPr>
                <w:rFonts w:hint="eastAsia" w:ascii="宋体" w:hAnsi="宋体" w:eastAsia="宋体" w:cs="宋体"/>
                <w:color w:val="000000"/>
                <w:sz w:val="21"/>
                <w:szCs w:val="21"/>
                <w:lang w:val="en-GB"/>
              </w:rPr>
              <w:t>编制了《危险源辨识、风险评价和控制措施的控制程序》，规定重大危险源评定</w:t>
            </w:r>
            <w:r>
              <w:rPr>
                <w:rFonts w:hint="eastAsia" w:ascii="宋体" w:hAnsi="宋体" w:eastAsia="宋体" w:cs="宋体"/>
                <w:color w:val="000000"/>
                <w:sz w:val="21"/>
                <w:szCs w:val="21"/>
              </w:rPr>
              <w:t>程序</w:t>
            </w:r>
            <w:r>
              <w:rPr>
                <w:rFonts w:hint="eastAsia" w:ascii="宋体" w:hAnsi="宋体" w:eastAsia="宋体" w:cs="宋体"/>
                <w:color w:val="000000"/>
                <w:sz w:val="21"/>
                <w:szCs w:val="21"/>
                <w:lang w:val="en-GB"/>
              </w:rPr>
              <w:t>。</w:t>
            </w:r>
          </w:p>
          <w:p>
            <w:pPr>
              <w:pageBreakBefore w:val="0"/>
              <w:widowControl w:val="0"/>
              <w:kinsoku/>
              <w:wordWrap/>
              <w:overflowPunct/>
              <w:topLinePunct w:val="0"/>
              <w:bidi w:val="0"/>
              <w:spacing w:line="240" w:lineRule="auto"/>
              <w:ind w:firstLine="420" w:firstLineChars="200"/>
              <w:rPr>
                <w:rFonts w:hint="eastAsia" w:ascii="宋体" w:hAnsi="宋体" w:eastAsia="宋体" w:cs="宋体"/>
                <w:color w:val="000000"/>
                <w:sz w:val="21"/>
                <w:szCs w:val="21"/>
                <w:lang w:val="en-GB"/>
              </w:rPr>
            </w:pPr>
            <w:r>
              <w:rPr>
                <w:rFonts w:hint="eastAsia" w:ascii="宋体" w:hAnsi="宋体" w:eastAsia="宋体" w:cs="宋体"/>
                <w:color w:val="000000"/>
                <w:sz w:val="21"/>
                <w:szCs w:val="21"/>
                <w:lang w:val="en-GB"/>
              </w:rPr>
              <w:t>提供《危险源辨识和风险评价表》对供销活动分别用</w:t>
            </w:r>
            <w:r>
              <w:rPr>
                <w:rFonts w:hint="eastAsia" w:ascii="宋体" w:hAnsi="宋体" w:eastAsia="宋体" w:cs="宋体"/>
                <w:color w:val="000000"/>
                <w:sz w:val="21"/>
                <w:szCs w:val="21"/>
              </w:rPr>
              <w:t>LEC法</w:t>
            </w:r>
            <w:r>
              <w:rPr>
                <w:rFonts w:hint="eastAsia" w:ascii="宋体" w:hAnsi="宋体" w:eastAsia="宋体" w:cs="宋体"/>
                <w:color w:val="000000"/>
                <w:sz w:val="21"/>
                <w:szCs w:val="21"/>
                <w:lang w:val="en-GB"/>
              </w:rPr>
              <w:t>进行辨识，从过去、现在、将来三种时态；正常、异常和紧急三种状态识别危险源。</w:t>
            </w:r>
          </w:p>
          <w:p>
            <w:pPr>
              <w:pageBreakBefore w:val="0"/>
              <w:widowControl w:val="0"/>
              <w:kinsoku/>
              <w:wordWrap/>
              <w:overflowPunct/>
              <w:topLinePunct w:val="0"/>
              <w:bidi w:val="0"/>
              <w:spacing w:line="240" w:lineRule="auto"/>
              <w:ind w:firstLine="420" w:firstLineChars="200"/>
              <w:rPr>
                <w:rFonts w:hint="eastAsia" w:ascii="宋体" w:hAnsi="宋体" w:eastAsia="宋体" w:cs="宋体"/>
                <w:sz w:val="21"/>
                <w:szCs w:val="21"/>
                <w:lang w:val="en-GB"/>
              </w:rPr>
            </w:pPr>
            <w:r>
              <w:rPr>
                <w:rFonts w:hint="eastAsia" w:ascii="宋体" w:hAnsi="宋体" w:eastAsia="宋体" w:cs="宋体"/>
                <w:color w:val="000000"/>
                <w:sz w:val="21"/>
                <w:szCs w:val="21"/>
                <w:lang w:val="en-GB"/>
              </w:rPr>
              <w:t>本部门识别的各区域危险源有：触电、意外伤害、火灾、交通事故、饮食中毒等。重大危险源</w:t>
            </w:r>
            <w:r>
              <w:rPr>
                <w:rFonts w:hint="eastAsia" w:ascii="宋体" w:hAnsi="宋体" w:eastAsia="宋体" w:cs="宋体"/>
                <w:color w:val="000000"/>
                <w:sz w:val="21"/>
                <w:szCs w:val="21"/>
              </w:rPr>
              <w:t>评价</w:t>
            </w:r>
            <w:r>
              <w:rPr>
                <w:rFonts w:hint="eastAsia" w:ascii="宋体" w:hAnsi="宋体" w:eastAsia="宋体" w:cs="宋体"/>
                <w:color w:val="000000"/>
                <w:sz w:val="21"/>
                <w:szCs w:val="21"/>
                <w:lang w:val="en-GB"/>
              </w:rPr>
              <w:t>有：</w:t>
            </w:r>
            <w:r>
              <w:rPr>
                <w:rFonts w:hint="eastAsia" w:ascii="宋体" w:hAnsi="宋体" w:eastAsia="宋体" w:cs="宋体"/>
                <w:sz w:val="21"/>
                <w:szCs w:val="21"/>
              </w:rPr>
              <w:t>防火措施不当</w:t>
            </w:r>
            <w:r>
              <w:rPr>
                <w:rFonts w:hint="eastAsia" w:ascii="宋体" w:hAnsi="宋体" w:eastAsia="宋体" w:cs="宋体"/>
                <w:color w:val="000000"/>
                <w:sz w:val="21"/>
                <w:szCs w:val="21"/>
                <w:lang w:val="en-GB"/>
              </w:rPr>
              <w:t>、电器使用操作不当、线路故障等。</w:t>
            </w:r>
          </w:p>
          <w:p>
            <w:pPr>
              <w:pageBreakBefore w:val="0"/>
              <w:widowControl w:val="0"/>
              <w:kinsoku/>
              <w:wordWrap/>
              <w:overflowPunct/>
              <w:topLinePunct w:val="0"/>
              <w:bidi w:val="0"/>
              <w:spacing w:line="240" w:lineRule="auto"/>
              <w:rPr>
                <w:rFonts w:hint="eastAsia" w:ascii="宋体" w:hAnsi="宋体" w:eastAsia="宋体" w:cs="宋体"/>
                <w:sz w:val="21"/>
                <w:szCs w:val="21"/>
              </w:rPr>
            </w:pPr>
            <w:r>
              <w:rPr>
                <w:rFonts w:hint="eastAsia" w:ascii="宋体" w:hAnsi="宋体" w:eastAsia="宋体" w:cs="宋体"/>
                <w:color w:val="000000"/>
                <w:sz w:val="21"/>
                <w:szCs w:val="21"/>
                <w:lang w:val="en-GB"/>
              </w:rPr>
              <w:t>危险源识别经核实基本齐全，重大危险源</w:t>
            </w:r>
            <w:r>
              <w:rPr>
                <w:rFonts w:hint="eastAsia" w:ascii="宋体" w:hAnsi="宋体" w:eastAsia="宋体" w:cs="宋体"/>
                <w:color w:val="000000"/>
                <w:sz w:val="21"/>
                <w:szCs w:val="21"/>
              </w:rPr>
              <w:t>评价基本合理</w:t>
            </w:r>
            <w:r>
              <w:rPr>
                <w:rFonts w:hint="eastAsia" w:ascii="宋体" w:hAnsi="宋体" w:eastAsia="宋体" w:cs="宋体"/>
                <w:color w:val="000000"/>
                <w:sz w:val="21"/>
                <w:szCs w:val="21"/>
                <w:lang w:val="en-GB"/>
              </w:rPr>
              <w:t>。</w:t>
            </w:r>
          </w:p>
        </w:tc>
        <w:tc>
          <w:tcPr>
            <w:tcW w:w="895" w:type="dxa"/>
            <w:vAlign w:val="top"/>
          </w:tcPr>
          <w:p>
            <w:pPr>
              <w:keepLines w:val="0"/>
              <w:pageBreakBefore w:val="0"/>
              <w:widowControl w:val="0"/>
              <w:kinsoku/>
              <w:wordWrap/>
              <w:overflowPunct/>
              <w:topLinePunct w:val="0"/>
              <w:bidi w:val="0"/>
              <w:spacing w:line="24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858" w:type="dxa"/>
            <w:vAlign w:val="center"/>
          </w:tcPr>
          <w:p>
            <w:pPr>
              <w:pageBreakBefore w:val="0"/>
              <w:widowControl w:val="0"/>
              <w:kinsoku/>
              <w:wordWrap/>
              <w:overflowPunct/>
              <w:topLinePunct w:val="0"/>
              <w:bidi w:val="0"/>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基础设施/过程运行环境</w:t>
            </w:r>
          </w:p>
        </w:tc>
        <w:tc>
          <w:tcPr>
            <w:tcW w:w="1166" w:type="dxa"/>
            <w:vAlign w:val="center"/>
          </w:tcPr>
          <w:p>
            <w:pPr>
              <w:pageBreakBefore w:val="0"/>
              <w:widowControl w:val="0"/>
              <w:kinsoku/>
              <w:wordWrap/>
              <w:overflowPunct/>
              <w:topLinePunct w:val="0"/>
              <w:bidi w:val="0"/>
              <w:spacing w:line="240" w:lineRule="auto"/>
              <w:ind w:right="-6" w:rightChars="-3"/>
              <w:jc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Q7.1.3/Q7.1.4</w:t>
            </w:r>
          </w:p>
        </w:tc>
        <w:tc>
          <w:tcPr>
            <w:tcW w:w="10790" w:type="dxa"/>
            <w:vAlign w:val="top"/>
          </w:tcPr>
          <w:p>
            <w:pPr>
              <w:pageBreakBefore w:val="0"/>
              <w:widowControl w:val="0"/>
              <w:kinsoku/>
              <w:wordWrap/>
              <w:overflowPunct/>
              <w:topLinePunct w:val="0"/>
              <w:bidi w:val="0"/>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基础设施：</w:t>
            </w:r>
          </w:p>
          <w:p>
            <w:pPr>
              <w:pageBreakBefore w:val="0"/>
              <w:widowControl w:val="0"/>
              <w:kinsoku/>
              <w:wordWrap/>
              <w:overflowPunct/>
              <w:topLinePunct w:val="0"/>
              <w:bidi w:val="0"/>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为确保本公司所经营的教学仪器等产品合格，本公司确定、配置和维护过程运行所需的基础设施。包括： 建筑物和相关设施；经营、办公设备，包括硬件和软件；信息和通迅技术。</w:t>
            </w:r>
          </w:p>
          <w:p>
            <w:pPr>
              <w:pageBreakBefore w:val="0"/>
              <w:widowControl w:val="0"/>
              <w:kinsoku/>
              <w:wordWrap/>
              <w:overflowPunct/>
              <w:topLinePunct w:val="0"/>
              <w:bidi w:val="0"/>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无特种设备。</w:t>
            </w:r>
          </w:p>
          <w:p>
            <w:pPr>
              <w:pageBreakBefore w:val="0"/>
              <w:widowControl w:val="0"/>
              <w:kinsoku/>
              <w:wordWrap/>
              <w:overflowPunct/>
              <w:topLinePunct w:val="0"/>
              <w:bidi w:val="0"/>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 xml:space="preserve">过程运行环境： </w:t>
            </w:r>
          </w:p>
          <w:p>
            <w:pPr>
              <w:pageBreakBefore w:val="0"/>
              <w:widowControl w:val="0"/>
              <w:kinsoku/>
              <w:wordWrap/>
              <w:overflowPunct/>
              <w:topLinePunct w:val="0"/>
              <w:bidi w:val="0"/>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 xml:space="preserve">本公司根据产品和服务特点，确定、提供并维护过程运行所需要的环境，包括社会因素如无歧视、和谐稳定、无对抗；心理因素如舒缓心理压力、预防过度疲劳、保护个人情感；物理因素如温度、热量、湿度、照明、空气流通、卫生、噪声等。以获得合格产品和服务。 </w:t>
            </w:r>
          </w:p>
          <w:p>
            <w:pPr>
              <w:pStyle w:val="2"/>
              <w:pageBreakBefore w:val="0"/>
              <w:widowControl w:val="0"/>
              <w:kinsoku/>
              <w:wordWrap/>
              <w:overflowPunct/>
              <w:topLinePunct w:val="0"/>
              <w:bidi w:val="0"/>
              <w:spacing w:line="24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——查上述内容基本符合标准要求；</w:t>
            </w:r>
          </w:p>
        </w:tc>
        <w:tc>
          <w:tcPr>
            <w:tcW w:w="895" w:type="dxa"/>
            <w:vAlign w:val="top"/>
          </w:tcPr>
          <w:p>
            <w:pPr>
              <w:keepLines w:val="0"/>
              <w:pageBreakBefore w:val="0"/>
              <w:widowControl w:val="0"/>
              <w:kinsoku/>
              <w:wordWrap/>
              <w:overflowPunct/>
              <w:topLinePunct w:val="0"/>
              <w:bidi w:val="0"/>
              <w:spacing w:line="24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858" w:type="dxa"/>
            <w:vAlign w:val="center"/>
          </w:tcPr>
          <w:p>
            <w:pPr>
              <w:pageBreakBefore w:val="0"/>
              <w:widowControl w:val="0"/>
              <w:kinsoku/>
              <w:wordWrap/>
              <w:overflowPunct/>
              <w:topLinePunct w:val="0"/>
              <w:bidi w:val="0"/>
              <w:spacing w:line="240" w:lineRule="auto"/>
              <w:rPr>
                <w:rFonts w:hint="eastAsia" w:ascii="宋体" w:hAnsi="宋体" w:eastAsia="宋体" w:cs="宋体"/>
                <w:b/>
                <w:sz w:val="21"/>
                <w:szCs w:val="21"/>
              </w:rPr>
            </w:pPr>
            <w:r>
              <w:rPr>
                <w:rFonts w:hint="eastAsia" w:ascii="宋体" w:hAnsi="宋体" w:eastAsia="宋体" w:cs="宋体"/>
                <w:sz w:val="21"/>
                <w:szCs w:val="21"/>
              </w:rPr>
              <w:t>运行策划和控制</w:t>
            </w:r>
          </w:p>
        </w:tc>
        <w:tc>
          <w:tcPr>
            <w:tcW w:w="1166" w:type="dxa"/>
            <w:vAlign w:val="center"/>
          </w:tcPr>
          <w:p>
            <w:pPr>
              <w:pageBreakBefore w:val="0"/>
              <w:widowControl w:val="0"/>
              <w:kinsoku/>
              <w:wordWrap/>
              <w:overflowPunct/>
              <w:topLinePunct w:val="0"/>
              <w:bidi w:val="0"/>
              <w:spacing w:line="240" w:lineRule="auto"/>
              <w:rPr>
                <w:rFonts w:hint="eastAsia" w:ascii="宋体" w:hAnsi="宋体" w:eastAsia="宋体" w:cs="宋体"/>
                <w:sz w:val="21"/>
                <w:szCs w:val="21"/>
              </w:rPr>
            </w:pPr>
          </w:p>
          <w:p>
            <w:pPr>
              <w:pageBreakBefore w:val="0"/>
              <w:widowControl w:val="0"/>
              <w:kinsoku/>
              <w:wordWrap/>
              <w:overflowPunct/>
              <w:topLinePunct w:val="0"/>
              <w:bidi w:val="0"/>
              <w:spacing w:line="240" w:lineRule="auto"/>
              <w:rPr>
                <w:rFonts w:hint="eastAsia" w:ascii="宋体" w:hAnsi="宋体" w:eastAsia="宋体" w:cs="宋体"/>
                <w:sz w:val="21"/>
                <w:szCs w:val="21"/>
              </w:rPr>
            </w:pPr>
          </w:p>
          <w:p>
            <w:pPr>
              <w:pageBreakBefore w:val="0"/>
              <w:widowControl w:val="0"/>
              <w:kinsoku/>
              <w:wordWrap/>
              <w:overflowPunct/>
              <w:topLinePunct w:val="0"/>
              <w:bidi w:val="0"/>
              <w:spacing w:line="240" w:lineRule="auto"/>
              <w:rPr>
                <w:rFonts w:hint="eastAsia" w:ascii="宋体" w:hAnsi="宋体" w:eastAsia="宋体" w:cs="宋体"/>
                <w:sz w:val="21"/>
                <w:szCs w:val="21"/>
              </w:rPr>
            </w:pPr>
            <w:r>
              <w:rPr>
                <w:rFonts w:hint="eastAsia" w:ascii="宋体" w:hAnsi="宋体" w:eastAsia="宋体" w:cs="宋体"/>
                <w:sz w:val="21"/>
                <w:szCs w:val="21"/>
              </w:rPr>
              <w:t xml:space="preserve">Q8.1 </w:t>
            </w:r>
          </w:p>
          <w:p>
            <w:pPr>
              <w:pageBreakBefore w:val="0"/>
              <w:widowControl w:val="0"/>
              <w:kinsoku/>
              <w:wordWrap/>
              <w:overflowPunct/>
              <w:topLinePunct w:val="0"/>
              <w:bidi w:val="0"/>
              <w:spacing w:line="240" w:lineRule="auto"/>
              <w:rPr>
                <w:rFonts w:hint="eastAsia" w:ascii="宋体" w:hAnsi="宋体" w:eastAsia="宋体" w:cs="宋体"/>
                <w:sz w:val="21"/>
                <w:szCs w:val="21"/>
              </w:rPr>
            </w:pPr>
          </w:p>
          <w:p>
            <w:pPr>
              <w:pageBreakBefore w:val="0"/>
              <w:widowControl w:val="0"/>
              <w:kinsoku/>
              <w:wordWrap/>
              <w:overflowPunct/>
              <w:topLinePunct w:val="0"/>
              <w:bidi w:val="0"/>
              <w:spacing w:line="240" w:lineRule="auto"/>
              <w:rPr>
                <w:rFonts w:hint="eastAsia" w:ascii="宋体" w:hAnsi="宋体" w:eastAsia="宋体" w:cs="宋体"/>
                <w:sz w:val="21"/>
                <w:szCs w:val="21"/>
              </w:rPr>
            </w:pPr>
          </w:p>
          <w:p>
            <w:pPr>
              <w:pageBreakBefore w:val="0"/>
              <w:widowControl w:val="0"/>
              <w:kinsoku/>
              <w:wordWrap/>
              <w:overflowPunct/>
              <w:topLinePunct w:val="0"/>
              <w:bidi w:val="0"/>
              <w:spacing w:line="240" w:lineRule="auto"/>
              <w:rPr>
                <w:rFonts w:hint="eastAsia" w:ascii="宋体" w:hAnsi="宋体" w:eastAsia="宋体" w:cs="宋体"/>
                <w:sz w:val="21"/>
                <w:szCs w:val="21"/>
              </w:rPr>
            </w:pPr>
          </w:p>
          <w:p>
            <w:pPr>
              <w:pageBreakBefore w:val="0"/>
              <w:widowControl w:val="0"/>
              <w:kinsoku/>
              <w:wordWrap/>
              <w:overflowPunct/>
              <w:topLinePunct w:val="0"/>
              <w:bidi w:val="0"/>
              <w:spacing w:line="240" w:lineRule="auto"/>
              <w:rPr>
                <w:rFonts w:hint="eastAsia" w:ascii="宋体" w:hAnsi="宋体" w:eastAsia="宋体" w:cs="宋体"/>
                <w:sz w:val="21"/>
                <w:szCs w:val="21"/>
              </w:rPr>
            </w:pPr>
          </w:p>
          <w:p>
            <w:pPr>
              <w:pageBreakBefore w:val="0"/>
              <w:widowControl w:val="0"/>
              <w:kinsoku/>
              <w:wordWrap/>
              <w:overflowPunct/>
              <w:topLinePunct w:val="0"/>
              <w:bidi w:val="0"/>
              <w:spacing w:line="240" w:lineRule="auto"/>
              <w:rPr>
                <w:rFonts w:hint="eastAsia" w:ascii="宋体" w:hAnsi="宋体" w:eastAsia="宋体" w:cs="宋体"/>
                <w:sz w:val="21"/>
                <w:szCs w:val="21"/>
              </w:rPr>
            </w:pPr>
          </w:p>
          <w:p>
            <w:pPr>
              <w:pageBreakBefore w:val="0"/>
              <w:widowControl w:val="0"/>
              <w:kinsoku/>
              <w:wordWrap/>
              <w:overflowPunct/>
              <w:topLinePunct w:val="0"/>
              <w:bidi w:val="0"/>
              <w:spacing w:line="240" w:lineRule="auto"/>
              <w:rPr>
                <w:rFonts w:hint="eastAsia" w:ascii="宋体" w:hAnsi="宋体" w:eastAsia="宋体" w:cs="宋体"/>
                <w:sz w:val="21"/>
                <w:szCs w:val="21"/>
              </w:rPr>
            </w:pPr>
          </w:p>
          <w:p>
            <w:pPr>
              <w:pageBreakBefore w:val="0"/>
              <w:widowControl w:val="0"/>
              <w:kinsoku/>
              <w:wordWrap/>
              <w:overflowPunct/>
              <w:topLinePunct w:val="0"/>
              <w:bidi w:val="0"/>
              <w:spacing w:line="240" w:lineRule="auto"/>
              <w:rPr>
                <w:rFonts w:hint="eastAsia" w:ascii="宋体" w:hAnsi="宋体" w:eastAsia="宋体" w:cs="宋体"/>
                <w:sz w:val="21"/>
                <w:szCs w:val="21"/>
              </w:rPr>
            </w:pPr>
            <w:r>
              <w:rPr>
                <w:rFonts w:hint="eastAsia" w:ascii="宋体" w:hAnsi="宋体" w:eastAsia="宋体" w:cs="宋体"/>
                <w:sz w:val="21"/>
                <w:szCs w:val="21"/>
              </w:rPr>
              <w:t xml:space="preserve"> </w:t>
            </w:r>
          </w:p>
        </w:tc>
        <w:tc>
          <w:tcPr>
            <w:tcW w:w="10790" w:type="dxa"/>
            <w:vAlign w:val="center"/>
          </w:tcPr>
          <w:p>
            <w:pPr>
              <w:pStyle w:val="20"/>
              <w:pageBreakBefore w:val="0"/>
              <w:widowControl w:val="0"/>
              <w:kinsoku/>
              <w:wordWrap/>
              <w:overflowPunct/>
              <w:topLinePunct w:val="0"/>
              <w:bidi w:val="0"/>
              <w:spacing w:line="240" w:lineRule="auto"/>
              <w:ind w:left="0"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产品的实现过程策划主要由总经理和销售部负责人完成，过程策划包含了教学仪器、实验室设备、音体美器材、课桌椅、办公家具、办公用品、窗帘、环保设备、多媒体设备、厨房设备、科技馆设备、电子琴、秒表、舞台设备的销售所需要达到的质量目标和要求。</w:t>
            </w:r>
          </w:p>
          <w:p>
            <w:pPr>
              <w:pStyle w:val="20"/>
              <w:pageBreakBefore w:val="0"/>
              <w:widowControl w:val="0"/>
              <w:kinsoku/>
              <w:wordWrap/>
              <w:overflowPunct/>
              <w:topLinePunct w:val="0"/>
              <w:bidi w:val="0"/>
              <w:spacing w:line="240" w:lineRule="auto"/>
              <w:ind w:left="0"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执行标准《商品经营服务质量管理规范GB/T 16868-2009》和客户要求等。</w:t>
            </w:r>
          </w:p>
          <w:p>
            <w:pPr>
              <w:pStyle w:val="20"/>
              <w:pageBreakBefore w:val="0"/>
              <w:widowControl w:val="0"/>
              <w:kinsoku/>
              <w:wordWrap/>
              <w:overflowPunct/>
              <w:topLinePunct w:val="0"/>
              <w:bidi w:val="0"/>
              <w:spacing w:line="240" w:lineRule="auto"/>
              <w:ind w:left="420"/>
              <w:jc w:val="left"/>
              <w:rPr>
                <w:rFonts w:hint="eastAsia" w:ascii="宋体" w:hAnsi="宋体" w:eastAsia="宋体" w:cs="宋体"/>
                <w:kern w:val="0"/>
                <w:sz w:val="21"/>
                <w:szCs w:val="21"/>
              </w:rPr>
            </w:pPr>
            <w:r>
              <w:rPr>
                <w:rFonts w:hint="eastAsia" w:ascii="宋体" w:hAnsi="宋体" w:eastAsia="宋体" w:cs="宋体"/>
                <w:kern w:val="0"/>
                <w:sz w:val="21"/>
                <w:szCs w:val="21"/>
              </w:rPr>
              <w:t>编制了相应的过程文件：</w:t>
            </w:r>
          </w:p>
          <w:p>
            <w:pPr>
              <w:pStyle w:val="20"/>
              <w:pageBreakBefore w:val="0"/>
              <w:widowControl w:val="0"/>
              <w:kinsoku/>
              <w:wordWrap/>
              <w:overflowPunct/>
              <w:topLinePunct w:val="0"/>
              <w:bidi w:val="0"/>
              <w:spacing w:line="240" w:lineRule="auto"/>
              <w:ind w:left="0"/>
              <w:jc w:val="left"/>
              <w:rPr>
                <w:rFonts w:hint="eastAsia" w:ascii="宋体" w:hAnsi="宋体" w:eastAsia="宋体" w:cs="宋体"/>
                <w:kern w:val="0"/>
                <w:sz w:val="21"/>
                <w:szCs w:val="21"/>
              </w:rPr>
            </w:pPr>
            <w:r>
              <w:rPr>
                <w:rFonts w:hint="eastAsia" w:ascii="宋体" w:hAnsi="宋体" w:eastAsia="宋体" w:cs="宋体"/>
                <w:kern w:val="0"/>
                <w:sz w:val="21"/>
                <w:szCs w:val="21"/>
              </w:rPr>
              <w:t>（1）编制了销售服务流程：招投标/业务洽谈 → 合同评审 → 采购 → 进货检验 → 交付；</w:t>
            </w:r>
          </w:p>
          <w:p>
            <w:pPr>
              <w:pStyle w:val="20"/>
              <w:pageBreakBefore w:val="0"/>
              <w:widowControl w:val="0"/>
              <w:kinsoku/>
              <w:wordWrap/>
              <w:overflowPunct/>
              <w:topLinePunct w:val="0"/>
              <w:bidi w:val="0"/>
              <w:spacing w:line="240" w:lineRule="auto"/>
              <w:ind w:left="0"/>
              <w:jc w:val="left"/>
              <w:rPr>
                <w:rFonts w:hint="eastAsia" w:ascii="宋体" w:hAnsi="宋体" w:eastAsia="宋体" w:cs="宋体"/>
                <w:kern w:val="0"/>
                <w:sz w:val="21"/>
                <w:szCs w:val="21"/>
              </w:rPr>
            </w:pPr>
            <w:r>
              <w:rPr>
                <w:rFonts w:hint="eastAsia" w:ascii="宋体" w:hAnsi="宋体" w:eastAsia="宋体" w:cs="宋体"/>
                <w:kern w:val="0"/>
                <w:sz w:val="21"/>
                <w:szCs w:val="21"/>
              </w:rPr>
              <w:t>（2）制定了作业指导书</w:t>
            </w:r>
            <w:r>
              <w:rPr>
                <w:rFonts w:hint="eastAsia" w:ascii="宋体" w:hAnsi="宋体" w:eastAsia="宋体" w:cs="宋体"/>
                <w:sz w:val="21"/>
                <w:szCs w:val="21"/>
              </w:rPr>
              <w:t>《</w:t>
            </w:r>
            <w:r>
              <w:rPr>
                <w:rFonts w:hint="eastAsia" w:ascii="宋体" w:hAnsi="宋体" w:eastAsia="宋体" w:cs="宋体"/>
                <w:kern w:val="0"/>
                <w:sz w:val="21"/>
                <w:szCs w:val="21"/>
              </w:rPr>
              <w:t>销售管理制度TJYY-GL-2020-04》；</w:t>
            </w:r>
          </w:p>
          <w:p>
            <w:pPr>
              <w:pStyle w:val="20"/>
              <w:pageBreakBefore w:val="0"/>
              <w:widowControl w:val="0"/>
              <w:kinsoku/>
              <w:wordWrap/>
              <w:overflowPunct/>
              <w:topLinePunct w:val="0"/>
              <w:bidi w:val="0"/>
              <w:spacing w:line="240" w:lineRule="auto"/>
              <w:ind w:left="0"/>
              <w:jc w:val="left"/>
              <w:rPr>
                <w:rFonts w:hint="eastAsia" w:ascii="宋体" w:hAnsi="宋体" w:eastAsia="宋体" w:cs="宋体"/>
                <w:kern w:val="0"/>
                <w:sz w:val="21"/>
                <w:szCs w:val="21"/>
              </w:rPr>
            </w:pPr>
            <w:r>
              <w:rPr>
                <w:rFonts w:hint="eastAsia" w:ascii="宋体" w:hAnsi="宋体" w:eastAsia="宋体" w:cs="宋体"/>
                <w:kern w:val="0"/>
                <w:sz w:val="21"/>
                <w:szCs w:val="21"/>
              </w:rPr>
              <w:t>（3）规定了产品的检验验收准则，并制定了相应的检验规范；</w:t>
            </w:r>
            <w:r>
              <w:rPr>
                <w:rFonts w:hint="eastAsia" w:ascii="宋体" w:hAnsi="宋体" w:eastAsia="宋体" w:cs="宋体"/>
                <w:sz w:val="21"/>
                <w:szCs w:val="21"/>
              </w:rPr>
              <w:t>《采购物资检验规范》；</w:t>
            </w:r>
          </w:p>
          <w:p>
            <w:pPr>
              <w:pStyle w:val="20"/>
              <w:pageBreakBefore w:val="0"/>
              <w:widowControl w:val="0"/>
              <w:kinsoku/>
              <w:wordWrap/>
              <w:overflowPunct/>
              <w:topLinePunct w:val="0"/>
              <w:bidi w:val="0"/>
              <w:spacing w:line="240" w:lineRule="auto"/>
              <w:ind w:left="0"/>
              <w:jc w:val="left"/>
              <w:rPr>
                <w:rFonts w:hint="eastAsia" w:ascii="宋体" w:hAnsi="宋体" w:eastAsia="宋体" w:cs="宋体"/>
                <w:kern w:val="0"/>
                <w:sz w:val="21"/>
                <w:szCs w:val="21"/>
              </w:rPr>
            </w:pPr>
            <w:r>
              <w:rPr>
                <w:rFonts w:hint="eastAsia" w:ascii="宋体" w:hAnsi="宋体" w:eastAsia="宋体" w:cs="宋体"/>
                <w:kern w:val="0"/>
                <w:sz w:val="21"/>
                <w:szCs w:val="21"/>
              </w:rPr>
              <w:t>（4）现场对销售各过程填写有产品检验记录、营销人员工作监督表、销售服务质量检查报告等各种监视和测量记录；</w:t>
            </w:r>
          </w:p>
          <w:p>
            <w:pPr>
              <w:pStyle w:val="20"/>
              <w:pageBreakBefore w:val="0"/>
              <w:widowControl w:val="0"/>
              <w:kinsoku/>
              <w:wordWrap/>
              <w:overflowPunct/>
              <w:topLinePunct w:val="0"/>
              <w:bidi w:val="0"/>
              <w:spacing w:line="240" w:lineRule="auto"/>
              <w:ind w:left="0"/>
              <w:jc w:val="left"/>
              <w:rPr>
                <w:rFonts w:hint="eastAsia" w:ascii="宋体" w:hAnsi="宋体" w:eastAsia="宋体" w:cs="宋体"/>
                <w:kern w:val="0"/>
                <w:sz w:val="21"/>
                <w:szCs w:val="21"/>
              </w:rPr>
            </w:pPr>
            <w:r>
              <w:rPr>
                <w:rFonts w:hint="eastAsia" w:ascii="宋体" w:hAnsi="宋体" w:eastAsia="宋体" w:cs="宋体"/>
                <w:kern w:val="0"/>
                <w:sz w:val="21"/>
                <w:szCs w:val="21"/>
              </w:rPr>
              <w:t>（5）资源的提供（包括场所、人力、物力、设备设施等）。</w:t>
            </w:r>
          </w:p>
          <w:p>
            <w:pPr>
              <w:pStyle w:val="20"/>
              <w:pageBreakBefore w:val="0"/>
              <w:widowControl w:val="0"/>
              <w:kinsoku/>
              <w:wordWrap/>
              <w:overflowPunct/>
              <w:topLinePunct w:val="0"/>
              <w:bidi w:val="0"/>
              <w:spacing w:line="240" w:lineRule="auto"/>
              <w:ind w:left="0" w:firstLine="420" w:firstLineChars="200"/>
              <w:jc w:val="left"/>
              <w:rPr>
                <w:rFonts w:hint="eastAsia" w:ascii="宋体" w:hAnsi="宋体" w:eastAsia="宋体" w:cs="宋体"/>
                <w:kern w:val="0"/>
                <w:sz w:val="21"/>
                <w:szCs w:val="21"/>
              </w:rPr>
            </w:pPr>
            <w:r>
              <w:rPr>
                <w:rFonts w:hint="eastAsia" w:ascii="宋体" w:hAnsi="宋体" w:eastAsia="宋体" w:cs="宋体"/>
                <w:sz w:val="21"/>
                <w:szCs w:val="21"/>
              </w:rPr>
              <w:t>组织暂无外包过程，今后如有发生按照Q8.4条款要求进行控制，到目前为止，组织运行没有变更，问其有关要求，基本了解。</w:t>
            </w:r>
          </w:p>
          <w:p>
            <w:pPr>
              <w:pStyle w:val="20"/>
              <w:pageBreakBefore w:val="0"/>
              <w:widowControl w:val="0"/>
              <w:kinsoku/>
              <w:wordWrap/>
              <w:overflowPunct/>
              <w:topLinePunct w:val="0"/>
              <w:bidi w:val="0"/>
              <w:spacing w:line="240" w:lineRule="auto"/>
              <w:ind w:left="420"/>
              <w:jc w:val="left"/>
              <w:rPr>
                <w:rFonts w:hint="eastAsia" w:ascii="宋体" w:hAnsi="宋体" w:eastAsia="宋体" w:cs="宋体"/>
                <w:sz w:val="21"/>
                <w:szCs w:val="21"/>
              </w:rPr>
            </w:pPr>
            <w:r>
              <w:rPr>
                <w:rFonts w:hint="eastAsia" w:ascii="宋体" w:hAnsi="宋体" w:eastAsia="宋体" w:cs="宋体"/>
                <w:kern w:val="0"/>
                <w:sz w:val="21"/>
                <w:szCs w:val="21"/>
              </w:rPr>
              <w:t>该公司销售服务提供过程策划符合要求。</w:t>
            </w:r>
          </w:p>
        </w:tc>
        <w:tc>
          <w:tcPr>
            <w:tcW w:w="895" w:type="dxa"/>
            <w:vAlign w:val="top"/>
          </w:tcPr>
          <w:p>
            <w:pPr>
              <w:keepLines w:val="0"/>
              <w:pageBreakBefore w:val="0"/>
              <w:widowControl w:val="0"/>
              <w:kinsoku/>
              <w:wordWrap/>
              <w:overflowPunct/>
              <w:topLinePunct w:val="0"/>
              <w:bidi w:val="0"/>
              <w:spacing w:line="24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858" w:type="dxa"/>
            <w:vAlign w:val="center"/>
          </w:tcPr>
          <w:p>
            <w:pPr>
              <w:pageBreakBefore w:val="0"/>
              <w:widowControl w:val="0"/>
              <w:kinsoku/>
              <w:wordWrap/>
              <w:overflowPunct/>
              <w:topLinePunct w:val="0"/>
              <w:bidi w:val="0"/>
              <w:spacing w:line="240" w:lineRule="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产品和服务的要求</w:t>
            </w:r>
          </w:p>
        </w:tc>
        <w:tc>
          <w:tcPr>
            <w:tcW w:w="1166" w:type="dxa"/>
            <w:vAlign w:val="top"/>
          </w:tcPr>
          <w:p>
            <w:pPr>
              <w:pageBreakBefore w:val="0"/>
              <w:widowControl w:val="0"/>
              <w:kinsoku/>
              <w:wordWrap/>
              <w:overflowPunct/>
              <w:topLinePunct w:val="0"/>
              <w:autoSpaceDE w:val="0"/>
              <w:autoSpaceDN w:val="0"/>
              <w:bidi w:val="0"/>
              <w:adjustRightInd w:val="0"/>
              <w:snapToGrid w:val="0"/>
              <w:spacing w:line="240" w:lineRule="auto"/>
              <w:ind w:right="-6" w:rightChars="-3"/>
              <w:rPr>
                <w:rFonts w:hint="eastAsia" w:ascii="宋体" w:hAnsi="宋体" w:eastAsia="宋体" w:cs="宋体"/>
                <w:sz w:val="21"/>
                <w:szCs w:val="21"/>
                <w:highlight w:val="none"/>
              </w:rPr>
            </w:pPr>
          </w:p>
          <w:p>
            <w:pPr>
              <w:pageBreakBefore w:val="0"/>
              <w:widowControl w:val="0"/>
              <w:kinsoku/>
              <w:wordWrap/>
              <w:overflowPunct/>
              <w:topLinePunct w:val="0"/>
              <w:autoSpaceDE w:val="0"/>
              <w:autoSpaceDN w:val="0"/>
              <w:bidi w:val="0"/>
              <w:adjustRightInd w:val="0"/>
              <w:snapToGrid w:val="0"/>
              <w:spacing w:line="240" w:lineRule="auto"/>
              <w:ind w:right="-6" w:rightChars="-3"/>
              <w:rPr>
                <w:rFonts w:hint="eastAsia" w:ascii="宋体" w:hAnsi="宋体" w:eastAsia="宋体" w:cs="宋体"/>
                <w:sz w:val="21"/>
                <w:szCs w:val="21"/>
                <w:highlight w:val="none"/>
              </w:rPr>
            </w:pPr>
            <w:r>
              <w:rPr>
                <w:rFonts w:hint="eastAsia" w:ascii="宋体" w:hAnsi="宋体" w:eastAsia="宋体" w:cs="宋体"/>
                <w:sz w:val="21"/>
                <w:szCs w:val="21"/>
                <w:highlight w:val="none"/>
              </w:rPr>
              <w:t>Q8.2</w:t>
            </w:r>
          </w:p>
          <w:p>
            <w:pPr>
              <w:pageBreakBefore w:val="0"/>
              <w:widowControl w:val="0"/>
              <w:kinsoku/>
              <w:wordWrap/>
              <w:overflowPunct/>
              <w:topLinePunct w:val="0"/>
              <w:autoSpaceDE w:val="0"/>
              <w:autoSpaceDN w:val="0"/>
              <w:bidi w:val="0"/>
              <w:adjustRightInd w:val="0"/>
              <w:snapToGrid w:val="0"/>
              <w:spacing w:line="240" w:lineRule="auto"/>
              <w:ind w:right="-6" w:rightChars="-3" w:firstLine="420" w:firstLineChars="200"/>
              <w:rPr>
                <w:rFonts w:hint="eastAsia" w:ascii="宋体" w:hAnsi="宋体" w:eastAsia="宋体" w:cs="宋体"/>
                <w:kern w:val="2"/>
                <w:sz w:val="21"/>
                <w:szCs w:val="21"/>
                <w:highlight w:val="none"/>
                <w:lang w:val="en-US" w:eastAsia="zh-CN" w:bidi="ar-SA"/>
              </w:rPr>
            </w:pPr>
          </w:p>
        </w:tc>
        <w:tc>
          <w:tcPr>
            <w:tcW w:w="10790" w:type="dxa"/>
            <w:vAlign w:val="top"/>
          </w:tcPr>
          <w:p>
            <w:pPr>
              <w:pageBreakBefore w:val="0"/>
              <w:widowControl w:val="0"/>
              <w:kinsoku/>
              <w:wordWrap/>
              <w:overflowPunct/>
              <w:topLinePunct w:val="0"/>
              <w:bidi w:val="0"/>
              <w:spacing w:line="240" w:lineRule="auto"/>
              <w:ind w:right="-105" w:firstLine="42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审核现场销售部负责人介绍沟通方式：主要是电话、上门拜访、资料传递、招投标会、交流会等形式宣传本公司有关产品及公司的有关信誉等。</w:t>
            </w:r>
          </w:p>
          <w:p>
            <w:pPr>
              <w:pageBreakBefore w:val="0"/>
              <w:widowControl w:val="0"/>
              <w:kinsoku/>
              <w:wordWrap/>
              <w:overflowPunct/>
              <w:topLinePunct w:val="0"/>
              <w:bidi w:val="0"/>
              <w:spacing w:line="240" w:lineRule="auto"/>
              <w:ind w:right="-105" w:firstLine="42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针对合同洽谈、签订、履行过程中的问题、顾客投诉或反馈，及时电话联系，明确各自的要求，及时处理，暂未发生顾客投诉情况。</w:t>
            </w:r>
          </w:p>
          <w:p>
            <w:pPr>
              <w:pageBreakBefore w:val="0"/>
              <w:widowControl w:val="0"/>
              <w:kinsoku/>
              <w:wordWrap/>
              <w:overflowPunct/>
              <w:topLinePunct w:val="0"/>
              <w:bidi w:val="0"/>
              <w:spacing w:line="240" w:lineRule="auto"/>
              <w:ind w:right="-105" w:firstLine="42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目前沟通效果良好。</w:t>
            </w:r>
          </w:p>
          <w:p>
            <w:pPr>
              <w:pageBreakBefore w:val="0"/>
              <w:widowControl w:val="0"/>
              <w:kinsoku/>
              <w:wordWrap/>
              <w:overflowPunct/>
              <w:topLinePunct w:val="0"/>
              <w:bidi w:val="0"/>
              <w:spacing w:line="240" w:lineRule="auto"/>
              <w:ind w:right="-105" w:firstLine="42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公司主要通过客户的走访、招标会、市场调查、交流会等了解市场的需求状态。主要以合同、招标文件、订单、电话等形式确定与产品有关的要求，均已保存或进行相应的记录。公司接到合同后在微信群评审，无异议后公司代表签字盖章回传客户作为已评审的证据。</w:t>
            </w:r>
          </w:p>
          <w:p>
            <w:pPr>
              <w:pageBreakBefore w:val="0"/>
              <w:widowControl w:val="0"/>
              <w:kinsoku/>
              <w:wordWrap/>
              <w:overflowPunct/>
              <w:topLinePunct w:val="0"/>
              <w:bidi w:val="0"/>
              <w:spacing w:line="240" w:lineRule="auto"/>
              <w:ind w:right="-105" w:firstLine="42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提供了客户的</w:t>
            </w:r>
            <w:r>
              <w:rPr>
                <w:rFonts w:hint="eastAsia" w:ascii="宋体" w:hAnsi="宋体" w:eastAsia="宋体" w:cs="宋体"/>
                <w:sz w:val="21"/>
                <w:szCs w:val="21"/>
                <w:highlight w:val="none"/>
                <w:lang w:val="en-US" w:eastAsia="zh-CN"/>
              </w:rPr>
              <w:t>购买</w:t>
            </w:r>
            <w:r>
              <w:rPr>
                <w:rFonts w:hint="eastAsia" w:ascii="宋体" w:hAnsi="宋体" w:eastAsia="宋体" w:cs="宋体"/>
                <w:sz w:val="21"/>
                <w:szCs w:val="21"/>
                <w:highlight w:val="none"/>
              </w:rPr>
              <w:t>合同多份，</w:t>
            </w:r>
          </w:p>
          <w:p>
            <w:pPr>
              <w:pageBreakBefore w:val="0"/>
              <w:widowControl w:val="0"/>
              <w:kinsoku/>
              <w:wordWrap/>
              <w:overflowPunct/>
              <w:topLinePunct w:val="0"/>
              <w:bidi w:val="0"/>
              <w:spacing w:line="240" w:lineRule="auto"/>
              <w:ind w:right="-105" w:firstLine="42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抽查202</w:t>
            </w:r>
            <w:r>
              <w:rPr>
                <w:rFonts w:hint="eastAsia" w:ascii="宋体" w:hAnsi="宋体" w:eastAsia="宋体" w:cs="宋体"/>
                <w:sz w:val="21"/>
                <w:szCs w:val="21"/>
                <w:highlight w:val="none"/>
                <w:lang w:val="en-US" w:eastAsia="zh-CN"/>
              </w:rPr>
              <w:t>2年7月8</w:t>
            </w:r>
            <w:r>
              <w:rPr>
                <w:rFonts w:hint="eastAsia" w:ascii="宋体" w:hAnsi="宋体" w:eastAsia="宋体" w:cs="宋体"/>
                <w:sz w:val="21"/>
                <w:szCs w:val="21"/>
                <w:highlight w:val="none"/>
              </w:rPr>
              <w:t>日客户北京中兴博科技有限公司采购：多媒体设备、科技馆设备、环保设备，交货日期</w:t>
            </w:r>
            <w:r>
              <w:rPr>
                <w:rFonts w:hint="eastAsia" w:ascii="宋体" w:hAnsi="宋体" w:eastAsia="宋体" w:cs="宋体"/>
                <w:sz w:val="21"/>
                <w:szCs w:val="21"/>
                <w:highlight w:val="none"/>
                <w:lang w:val="en-US" w:eastAsia="zh-CN"/>
              </w:rPr>
              <w:t>2022年7月26</w:t>
            </w:r>
            <w:r>
              <w:rPr>
                <w:rFonts w:hint="eastAsia" w:ascii="宋体" w:hAnsi="宋体" w:eastAsia="宋体" w:cs="宋体"/>
                <w:sz w:val="21"/>
                <w:szCs w:val="21"/>
                <w:highlight w:val="none"/>
              </w:rPr>
              <w:t>日，合同明确双方权利和义务，合作方式、结算方式，质量要求、技术要求、运输方式等；评审符合要求，盖章合同生效。</w:t>
            </w:r>
            <w:r>
              <w:rPr>
                <w:rFonts w:hint="eastAsia" w:ascii="宋体" w:hAnsi="宋体" w:eastAsia="宋体" w:cs="宋体"/>
                <w:sz w:val="21"/>
                <w:szCs w:val="21"/>
                <w:highlight w:val="none"/>
                <w:lang w:val="en-US" w:eastAsia="zh-CN"/>
              </w:rPr>
              <w:t xml:space="preserve">查合同评审时间为2022年7月7日，符合要求。    </w:t>
            </w:r>
          </w:p>
          <w:p>
            <w:pPr>
              <w:pageBreakBefore w:val="0"/>
              <w:widowControl w:val="0"/>
              <w:kinsoku/>
              <w:wordWrap/>
              <w:overflowPunct/>
              <w:topLinePunct w:val="0"/>
              <w:bidi w:val="0"/>
              <w:spacing w:line="240" w:lineRule="auto"/>
              <w:ind w:right="-105" w:firstLine="42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抽查2021</w:t>
            </w:r>
            <w:r>
              <w:rPr>
                <w:rFonts w:hint="eastAsia" w:ascii="宋体" w:hAnsi="宋体" w:eastAsia="宋体" w:cs="宋体"/>
                <w:sz w:val="21"/>
                <w:szCs w:val="21"/>
                <w:highlight w:val="none"/>
                <w:lang w:val="en-US" w:eastAsia="zh-CN"/>
              </w:rPr>
              <w:t>年10月26</w:t>
            </w:r>
            <w:r>
              <w:rPr>
                <w:rFonts w:hint="eastAsia" w:ascii="宋体" w:hAnsi="宋体" w:eastAsia="宋体" w:cs="宋体"/>
                <w:sz w:val="21"/>
                <w:szCs w:val="21"/>
                <w:highlight w:val="none"/>
              </w:rPr>
              <w:t>日客户鄄城县华东教学仪器设备有限公司采购：办公用品、电子琴、厨房设备、多媒体设备各 30 套，交货日期2021</w:t>
            </w:r>
            <w:r>
              <w:rPr>
                <w:rFonts w:hint="eastAsia" w:ascii="宋体" w:hAnsi="宋体" w:eastAsia="宋体" w:cs="宋体"/>
                <w:sz w:val="21"/>
                <w:szCs w:val="21"/>
                <w:highlight w:val="none"/>
                <w:lang w:val="en-US" w:eastAsia="zh-CN"/>
              </w:rPr>
              <w:t>年1</w:t>
            </w:r>
            <w:r>
              <w:rPr>
                <w:rFonts w:hint="eastAsia" w:ascii="宋体" w:hAnsi="宋体" w:eastAsia="宋体" w:cs="宋体"/>
                <w:sz w:val="21"/>
                <w:szCs w:val="21"/>
                <w:highlight w:val="none"/>
              </w:rPr>
              <w:t>1</w:t>
            </w:r>
            <w:r>
              <w:rPr>
                <w:rFonts w:hint="eastAsia" w:ascii="宋体" w:hAnsi="宋体" w:eastAsia="宋体" w:cs="宋体"/>
                <w:sz w:val="21"/>
                <w:szCs w:val="21"/>
                <w:highlight w:val="none"/>
                <w:lang w:val="en-US" w:eastAsia="zh-CN"/>
              </w:rPr>
              <w:t>月8</w:t>
            </w:r>
            <w:r>
              <w:rPr>
                <w:rFonts w:hint="eastAsia" w:ascii="宋体" w:hAnsi="宋体" w:eastAsia="宋体" w:cs="宋体"/>
                <w:sz w:val="21"/>
                <w:szCs w:val="21"/>
                <w:highlight w:val="none"/>
              </w:rPr>
              <w:t>日，合同明确双方权利和义务，合作方式、结算方式，质量要求、技术要求、运输方式等；评审符合要求，盖章合同生效。</w:t>
            </w:r>
            <w:r>
              <w:rPr>
                <w:rFonts w:hint="eastAsia" w:ascii="宋体" w:hAnsi="宋体" w:eastAsia="宋体" w:cs="宋体"/>
                <w:sz w:val="21"/>
                <w:szCs w:val="21"/>
                <w:highlight w:val="none"/>
                <w:lang w:val="en-US" w:eastAsia="zh-CN"/>
              </w:rPr>
              <w:t>查合同评审时间2021年10月25日，符合要求。</w:t>
            </w:r>
          </w:p>
          <w:p>
            <w:pPr>
              <w:pageBreakBefore w:val="0"/>
              <w:widowControl w:val="0"/>
              <w:kinsoku/>
              <w:wordWrap/>
              <w:overflowPunct/>
              <w:topLinePunct w:val="0"/>
              <w:bidi w:val="0"/>
              <w:spacing w:line="240" w:lineRule="auto"/>
              <w:ind w:right="-105" w:firstLine="42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抽查</w:t>
            </w:r>
            <w:r>
              <w:rPr>
                <w:rFonts w:hint="eastAsia" w:ascii="宋体" w:hAnsi="宋体" w:eastAsia="宋体" w:cs="宋体"/>
                <w:sz w:val="21"/>
                <w:szCs w:val="21"/>
                <w:highlight w:val="none"/>
                <w:lang w:val="en-US" w:eastAsia="zh-CN"/>
              </w:rPr>
              <w:t>2022年5月11</w:t>
            </w:r>
            <w:r>
              <w:rPr>
                <w:rFonts w:hint="eastAsia" w:ascii="宋体" w:hAnsi="宋体" w:eastAsia="宋体" w:cs="宋体"/>
                <w:sz w:val="21"/>
                <w:szCs w:val="21"/>
                <w:highlight w:val="none"/>
              </w:rPr>
              <w:t>日客户山东言诺教学设备有限公司采购：科技馆设备 1 套、办公家具 10 套、教学仪器 30 套、秒表 20 套</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交货日期</w:t>
            </w:r>
            <w:r>
              <w:rPr>
                <w:rFonts w:hint="eastAsia" w:ascii="宋体" w:hAnsi="宋体" w:eastAsia="宋体" w:cs="宋体"/>
                <w:sz w:val="21"/>
                <w:szCs w:val="21"/>
                <w:highlight w:val="none"/>
                <w:lang w:val="en-US" w:eastAsia="zh-CN"/>
              </w:rPr>
              <w:t>2022年5月20</w:t>
            </w:r>
            <w:r>
              <w:rPr>
                <w:rFonts w:hint="eastAsia" w:ascii="宋体" w:hAnsi="宋体" w:eastAsia="宋体" w:cs="宋体"/>
                <w:sz w:val="21"/>
                <w:szCs w:val="21"/>
                <w:highlight w:val="none"/>
              </w:rPr>
              <w:t>日，合同明确双方权利和义务，合作方式、结算方式，质量要求、技术要求、运输方式等；评审符合要求，盖章合同生效。</w:t>
            </w:r>
            <w:r>
              <w:rPr>
                <w:rFonts w:hint="eastAsia" w:ascii="宋体" w:hAnsi="宋体" w:eastAsia="宋体" w:cs="宋体"/>
                <w:sz w:val="21"/>
                <w:szCs w:val="21"/>
                <w:highlight w:val="none"/>
                <w:lang w:val="en-US" w:eastAsia="zh-CN"/>
              </w:rPr>
              <w:t>查合同评审时间2022年5月10日，符合要求。</w:t>
            </w:r>
          </w:p>
          <w:p>
            <w:pPr>
              <w:pageBreakBefore w:val="0"/>
              <w:widowControl w:val="0"/>
              <w:kinsoku/>
              <w:wordWrap/>
              <w:overflowPunct/>
              <w:topLinePunct w:val="0"/>
              <w:bidi w:val="0"/>
              <w:spacing w:line="240" w:lineRule="auto"/>
              <w:ind w:right="-105" w:firstLine="42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抽查</w:t>
            </w:r>
            <w:r>
              <w:rPr>
                <w:rFonts w:hint="eastAsia" w:ascii="宋体" w:hAnsi="宋体" w:eastAsia="宋体" w:cs="宋体"/>
                <w:sz w:val="21"/>
                <w:szCs w:val="21"/>
                <w:highlight w:val="none"/>
                <w:lang w:val="en-US" w:eastAsia="zh-CN"/>
              </w:rPr>
              <w:t>2022年3月12</w:t>
            </w:r>
            <w:r>
              <w:rPr>
                <w:rFonts w:hint="eastAsia" w:ascii="宋体" w:hAnsi="宋体" w:eastAsia="宋体" w:cs="宋体"/>
                <w:sz w:val="21"/>
                <w:szCs w:val="21"/>
                <w:highlight w:val="none"/>
              </w:rPr>
              <w:t>日客户</w:t>
            </w:r>
            <w:r>
              <w:rPr>
                <w:rFonts w:hint="eastAsia" w:ascii="宋体" w:hAnsi="宋体" w:eastAsia="宋体" w:cs="宋体"/>
                <w:sz w:val="21"/>
                <w:szCs w:val="21"/>
                <w:highlight w:val="none"/>
                <w:lang w:val="en-US" w:eastAsia="zh-CN"/>
              </w:rPr>
              <w:t>鄄城梦真科教设备有限公司</w:t>
            </w:r>
            <w:r>
              <w:rPr>
                <w:rFonts w:hint="eastAsia" w:ascii="宋体" w:hAnsi="宋体" w:eastAsia="宋体" w:cs="宋体"/>
                <w:sz w:val="21"/>
                <w:szCs w:val="21"/>
                <w:highlight w:val="none"/>
              </w:rPr>
              <w:t>采购：教学仪器 100 套、实验室设备 30 套、电子琴 100 套、音体美器材 50 套</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交货日期</w:t>
            </w:r>
            <w:r>
              <w:rPr>
                <w:rFonts w:hint="eastAsia" w:ascii="宋体" w:hAnsi="宋体" w:eastAsia="宋体" w:cs="宋体"/>
                <w:sz w:val="21"/>
                <w:szCs w:val="21"/>
                <w:highlight w:val="none"/>
                <w:lang w:val="en-US" w:eastAsia="zh-CN"/>
              </w:rPr>
              <w:t>2022年3月27</w:t>
            </w:r>
            <w:r>
              <w:rPr>
                <w:rFonts w:hint="eastAsia" w:ascii="宋体" w:hAnsi="宋体" w:eastAsia="宋体" w:cs="宋体"/>
                <w:sz w:val="21"/>
                <w:szCs w:val="21"/>
                <w:highlight w:val="none"/>
              </w:rPr>
              <w:t>日，合同明确双方权利和义务，合作方式、结算方式，质量要求、技术要求、运输方式等；评审符合要求，盖章合同生效。</w:t>
            </w:r>
            <w:r>
              <w:rPr>
                <w:rFonts w:hint="eastAsia" w:ascii="宋体" w:hAnsi="宋体" w:eastAsia="宋体" w:cs="宋体"/>
                <w:sz w:val="21"/>
                <w:szCs w:val="21"/>
                <w:highlight w:val="none"/>
                <w:lang w:val="en-US" w:eastAsia="zh-CN"/>
              </w:rPr>
              <w:t>查未对鄄城梦真科教设备有限公司签订的合同进行合同评审，不符合。</w:t>
            </w:r>
          </w:p>
          <w:p>
            <w:pPr>
              <w:pageBreakBefore w:val="0"/>
              <w:widowControl w:val="0"/>
              <w:kinsoku/>
              <w:wordWrap/>
              <w:overflowPunct/>
              <w:topLinePunct w:val="0"/>
              <w:bidi w:val="0"/>
              <w:spacing w:line="240" w:lineRule="auto"/>
              <w:ind w:right="-105" w:firstLine="42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签订合同/协议后，公司按合同或订货要求执行；暂无合同或产品要求更改的情况；</w:t>
            </w:r>
          </w:p>
          <w:p>
            <w:pPr>
              <w:pageBreakBefore w:val="0"/>
              <w:widowControl w:val="0"/>
              <w:tabs>
                <w:tab w:val="left" w:pos="6597"/>
              </w:tabs>
              <w:kinsoku/>
              <w:wordWrap/>
              <w:overflowPunct/>
              <w:topLinePunct w:val="0"/>
              <w:autoSpaceDE w:val="0"/>
              <w:autoSpaceDN w:val="0"/>
              <w:bidi w:val="0"/>
              <w:adjustRightInd w:val="0"/>
              <w:snapToGrid w:val="0"/>
              <w:spacing w:line="240" w:lineRule="auto"/>
              <w:ind w:right="-6" w:rightChars="-3" w:firstLine="420" w:firstLineChars="200"/>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企业在产品要求确认、评审方面控制基本符合要求。</w:t>
            </w:r>
          </w:p>
        </w:tc>
        <w:tc>
          <w:tcPr>
            <w:tcW w:w="895" w:type="dxa"/>
          </w:tcPr>
          <w:p>
            <w:pPr>
              <w:pageBreakBefore w:val="0"/>
              <w:widowControl w:val="0"/>
              <w:kinsoku/>
              <w:wordWrap/>
              <w:overflowPunct/>
              <w:topLinePunct w:val="0"/>
              <w:bidi w:val="0"/>
              <w:spacing w:line="240" w:lineRule="auto"/>
              <w:rPr>
                <w:rFonts w:hint="eastAsia" w:ascii="宋体" w:hAnsi="宋体" w:eastAsia="宋体" w:cs="宋体"/>
                <w:sz w:val="21"/>
                <w:szCs w:val="21"/>
              </w:rPr>
            </w:pPr>
          </w:p>
          <w:p>
            <w:pPr>
              <w:pStyle w:val="2"/>
              <w:pageBreakBefore w:val="0"/>
              <w:widowControl w:val="0"/>
              <w:kinsoku/>
              <w:wordWrap/>
              <w:overflowPunct/>
              <w:topLinePunct w:val="0"/>
              <w:bidi w:val="0"/>
              <w:spacing w:line="240" w:lineRule="auto"/>
              <w:rPr>
                <w:rFonts w:hint="eastAsia" w:ascii="宋体" w:hAnsi="宋体" w:eastAsia="宋体" w:cs="宋体"/>
                <w:color w:val="000000"/>
                <w:sz w:val="21"/>
                <w:szCs w:val="21"/>
              </w:rPr>
            </w:pPr>
          </w:p>
          <w:p>
            <w:pPr>
              <w:pStyle w:val="2"/>
              <w:pageBreakBefore w:val="0"/>
              <w:widowControl w:val="0"/>
              <w:kinsoku/>
              <w:wordWrap/>
              <w:overflowPunct/>
              <w:topLinePunct w:val="0"/>
              <w:bidi w:val="0"/>
              <w:spacing w:line="240" w:lineRule="auto"/>
              <w:rPr>
                <w:rFonts w:hint="eastAsia" w:ascii="宋体" w:hAnsi="宋体" w:eastAsia="宋体" w:cs="宋体"/>
                <w:color w:val="000000"/>
                <w:sz w:val="21"/>
                <w:szCs w:val="21"/>
              </w:rPr>
            </w:pPr>
          </w:p>
          <w:p>
            <w:pPr>
              <w:pStyle w:val="2"/>
              <w:pageBreakBefore w:val="0"/>
              <w:widowControl w:val="0"/>
              <w:kinsoku/>
              <w:wordWrap/>
              <w:overflowPunct/>
              <w:topLinePunct w:val="0"/>
              <w:bidi w:val="0"/>
              <w:spacing w:line="240" w:lineRule="auto"/>
              <w:rPr>
                <w:rFonts w:hint="eastAsia" w:ascii="宋体" w:hAnsi="宋体" w:eastAsia="宋体" w:cs="宋体"/>
                <w:color w:val="000000"/>
                <w:sz w:val="21"/>
                <w:szCs w:val="21"/>
              </w:rPr>
            </w:pPr>
          </w:p>
          <w:p>
            <w:pPr>
              <w:pStyle w:val="2"/>
              <w:pageBreakBefore w:val="0"/>
              <w:widowControl w:val="0"/>
              <w:kinsoku/>
              <w:wordWrap/>
              <w:overflowPunct/>
              <w:topLinePunct w:val="0"/>
              <w:bidi w:val="0"/>
              <w:spacing w:line="240" w:lineRule="auto"/>
              <w:rPr>
                <w:rFonts w:hint="eastAsia" w:ascii="宋体" w:hAnsi="宋体" w:eastAsia="宋体" w:cs="宋体"/>
                <w:color w:val="000000"/>
                <w:sz w:val="21"/>
                <w:szCs w:val="21"/>
              </w:rPr>
            </w:pPr>
          </w:p>
          <w:p>
            <w:pPr>
              <w:pStyle w:val="2"/>
              <w:pageBreakBefore w:val="0"/>
              <w:widowControl w:val="0"/>
              <w:kinsoku/>
              <w:wordWrap/>
              <w:overflowPunct/>
              <w:topLinePunct w:val="0"/>
              <w:bidi w:val="0"/>
              <w:spacing w:line="240" w:lineRule="auto"/>
              <w:rPr>
                <w:rFonts w:hint="eastAsia" w:ascii="宋体" w:hAnsi="宋体" w:eastAsia="宋体" w:cs="宋体"/>
                <w:color w:val="000000"/>
                <w:sz w:val="21"/>
                <w:szCs w:val="21"/>
              </w:rPr>
            </w:pPr>
          </w:p>
          <w:p>
            <w:pPr>
              <w:pStyle w:val="2"/>
              <w:pageBreakBefore w:val="0"/>
              <w:widowControl w:val="0"/>
              <w:kinsoku/>
              <w:wordWrap/>
              <w:overflowPunct/>
              <w:topLinePunct w:val="0"/>
              <w:bidi w:val="0"/>
              <w:spacing w:line="240" w:lineRule="auto"/>
              <w:rPr>
                <w:rFonts w:hint="eastAsia" w:ascii="宋体" w:hAnsi="宋体" w:eastAsia="宋体" w:cs="宋体"/>
                <w:color w:val="000000"/>
                <w:sz w:val="21"/>
                <w:szCs w:val="21"/>
              </w:rPr>
            </w:pPr>
          </w:p>
          <w:p>
            <w:pPr>
              <w:pStyle w:val="2"/>
              <w:pageBreakBefore w:val="0"/>
              <w:widowControl w:val="0"/>
              <w:kinsoku/>
              <w:wordWrap/>
              <w:overflowPunct/>
              <w:topLinePunct w:val="0"/>
              <w:bidi w:val="0"/>
              <w:spacing w:line="240" w:lineRule="auto"/>
              <w:rPr>
                <w:rFonts w:hint="eastAsia" w:ascii="宋体" w:hAnsi="宋体" w:eastAsia="宋体" w:cs="宋体"/>
                <w:color w:val="000000"/>
                <w:sz w:val="21"/>
                <w:szCs w:val="21"/>
              </w:rPr>
            </w:pPr>
          </w:p>
          <w:p>
            <w:pPr>
              <w:pStyle w:val="2"/>
              <w:pageBreakBefore w:val="0"/>
              <w:widowControl w:val="0"/>
              <w:kinsoku/>
              <w:wordWrap/>
              <w:overflowPunct/>
              <w:topLinePunct w:val="0"/>
              <w:bidi w:val="0"/>
              <w:spacing w:line="240" w:lineRule="auto"/>
              <w:rPr>
                <w:rFonts w:hint="eastAsia" w:ascii="宋体" w:hAnsi="宋体" w:eastAsia="宋体" w:cs="宋体"/>
                <w:color w:val="000000"/>
                <w:sz w:val="21"/>
                <w:szCs w:val="21"/>
              </w:rPr>
            </w:pPr>
          </w:p>
          <w:p>
            <w:pPr>
              <w:pStyle w:val="2"/>
              <w:pageBreakBefore w:val="0"/>
              <w:widowControl w:val="0"/>
              <w:kinsoku/>
              <w:wordWrap/>
              <w:overflowPunct/>
              <w:topLinePunct w:val="0"/>
              <w:bidi w:val="0"/>
              <w:spacing w:line="240" w:lineRule="auto"/>
              <w:rPr>
                <w:rFonts w:hint="eastAsia" w:ascii="宋体" w:hAnsi="宋体" w:eastAsia="宋体" w:cs="宋体"/>
                <w:color w:val="000000"/>
                <w:sz w:val="21"/>
                <w:szCs w:val="21"/>
              </w:rPr>
            </w:pPr>
          </w:p>
          <w:p>
            <w:pPr>
              <w:pStyle w:val="2"/>
              <w:pageBreakBefore w:val="0"/>
              <w:widowControl w:val="0"/>
              <w:kinsoku/>
              <w:wordWrap/>
              <w:overflowPunct/>
              <w:topLinePunct w:val="0"/>
              <w:bidi w:val="0"/>
              <w:spacing w:line="240" w:lineRule="auto"/>
              <w:rPr>
                <w:rFonts w:hint="eastAsia" w:ascii="宋体" w:hAnsi="宋体" w:eastAsia="宋体" w:cs="宋体"/>
                <w:color w:val="000000"/>
                <w:sz w:val="21"/>
                <w:szCs w:val="21"/>
              </w:rPr>
            </w:pPr>
          </w:p>
          <w:p>
            <w:pPr>
              <w:pStyle w:val="2"/>
              <w:pageBreakBefore w:val="0"/>
              <w:widowControl w:val="0"/>
              <w:kinsoku/>
              <w:wordWrap/>
              <w:overflowPunct/>
              <w:topLinePunct w:val="0"/>
              <w:bidi w:val="0"/>
              <w:spacing w:line="240" w:lineRule="auto"/>
              <w:rPr>
                <w:rFonts w:hint="eastAsia" w:ascii="宋体" w:hAnsi="宋体" w:eastAsia="宋体" w:cs="宋体"/>
                <w:color w:val="000000"/>
                <w:sz w:val="21"/>
                <w:szCs w:val="21"/>
              </w:rPr>
            </w:pPr>
          </w:p>
          <w:p>
            <w:pPr>
              <w:pStyle w:val="2"/>
              <w:pageBreakBefore w:val="0"/>
              <w:widowControl w:val="0"/>
              <w:kinsoku/>
              <w:wordWrap/>
              <w:overflowPunct/>
              <w:topLinePunct w:val="0"/>
              <w:bidi w:val="0"/>
              <w:spacing w:line="240" w:lineRule="auto"/>
              <w:rPr>
                <w:rFonts w:hint="eastAsia" w:ascii="宋体" w:hAnsi="宋体" w:eastAsia="宋体" w:cs="宋体"/>
                <w:color w:val="000000"/>
                <w:sz w:val="21"/>
                <w:szCs w:val="21"/>
              </w:rPr>
            </w:pPr>
          </w:p>
          <w:p>
            <w:pPr>
              <w:pStyle w:val="2"/>
              <w:pageBreakBefore w:val="0"/>
              <w:widowControl w:val="0"/>
              <w:kinsoku/>
              <w:wordWrap/>
              <w:overflowPunct/>
              <w:topLinePunct w:val="0"/>
              <w:bidi w:val="0"/>
              <w:spacing w:line="240" w:lineRule="auto"/>
              <w:rPr>
                <w:rFonts w:hint="eastAsia" w:ascii="宋体" w:hAnsi="宋体" w:eastAsia="宋体" w:cs="宋体"/>
                <w:color w:val="000000"/>
                <w:sz w:val="21"/>
                <w:szCs w:val="21"/>
              </w:rPr>
            </w:pPr>
          </w:p>
          <w:p>
            <w:pPr>
              <w:pStyle w:val="2"/>
              <w:pageBreakBefore w:val="0"/>
              <w:widowControl w:val="0"/>
              <w:kinsoku/>
              <w:wordWrap/>
              <w:overflowPunct/>
              <w:topLinePunct w:val="0"/>
              <w:bidi w:val="0"/>
              <w:spacing w:line="240" w:lineRule="auto"/>
              <w:rPr>
                <w:rFonts w:hint="eastAsia" w:ascii="宋体" w:hAnsi="宋体" w:eastAsia="宋体" w:cs="宋体"/>
                <w:color w:val="000000"/>
                <w:sz w:val="21"/>
                <w:szCs w:val="21"/>
              </w:rPr>
            </w:pPr>
          </w:p>
          <w:p>
            <w:pPr>
              <w:pStyle w:val="2"/>
              <w:pageBreakBefore w:val="0"/>
              <w:widowControl w:val="0"/>
              <w:kinsoku/>
              <w:wordWrap/>
              <w:overflowPunct/>
              <w:topLinePunct w:val="0"/>
              <w:bidi w:val="0"/>
              <w:spacing w:line="240" w:lineRule="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858" w:type="dxa"/>
            <w:vAlign w:val="center"/>
          </w:tcPr>
          <w:p>
            <w:pPr>
              <w:pageBreakBefore w:val="0"/>
              <w:widowControl w:val="0"/>
              <w:kinsoku/>
              <w:wordWrap/>
              <w:overflowPunct/>
              <w:topLinePunct w:val="0"/>
              <w:bidi w:val="0"/>
              <w:spacing w:line="24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设计和开发不适用确认</w:t>
            </w:r>
          </w:p>
        </w:tc>
        <w:tc>
          <w:tcPr>
            <w:tcW w:w="1166" w:type="dxa"/>
            <w:vAlign w:val="center"/>
          </w:tcPr>
          <w:p>
            <w:pPr>
              <w:pageBreakBefore w:val="0"/>
              <w:widowControl w:val="0"/>
              <w:kinsoku/>
              <w:wordWrap/>
              <w:overflowPunct/>
              <w:topLinePunct w:val="0"/>
              <w:bidi w:val="0"/>
              <w:spacing w:line="24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 xml:space="preserve">Q8.3 </w:t>
            </w:r>
          </w:p>
        </w:tc>
        <w:tc>
          <w:tcPr>
            <w:tcW w:w="10790" w:type="dxa"/>
            <w:vAlign w:val="center"/>
          </w:tcPr>
          <w:p>
            <w:pPr>
              <w:pageBreakBefore w:val="0"/>
              <w:widowControl w:val="0"/>
              <w:tabs>
                <w:tab w:val="left" w:pos="111"/>
              </w:tabs>
              <w:kinsoku/>
              <w:wordWrap/>
              <w:overflowPunct/>
              <w:topLinePunct w:val="0"/>
              <w:autoSpaceDE w:val="0"/>
              <w:autoSpaceDN w:val="0"/>
              <w:bidi w:val="0"/>
              <w:adjustRightInd w:val="0"/>
              <w:spacing w:line="240" w:lineRule="auto"/>
              <w:ind w:left="115" w:leftChars="55" w:right="56" w:rightChars="0"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sz w:val="21"/>
                <w:szCs w:val="21"/>
              </w:rPr>
              <w:t>公司只负责按常规销售模式进</w:t>
            </w:r>
            <w:r>
              <w:rPr>
                <w:rFonts w:hint="eastAsia" w:ascii="宋体" w:hAnsi="宋体" w:eastAsia="宋体" w:cs="宋体"/>
                <w:bCs/>
                <w:sz w:val="21"/>
                <w:szCs w:val="21"/>
              </w:rPr>
              <w:t>行环保设备的销售，不需要再设计开发</w:t>
            </w:r>
            <w:r>
              <w:rPr>
                <w:rFonts w:hint="eastAsia" w:ascii="宋体" w:hAnsi="宋体" w:eastAsia="宋体" w:cs="宋体"/>
                <w:sz w:val="21"/>
                <w:szCs w:val="21"/>
              </w:rPr>
              <w:t>，</w:t>
            </w:r>
            <w:r>
              <w:rPr>
                <w:rFonts w:hint="eastAsia" w:ascii="宋体" w:hAnsi="宋体" w:eastAsia="宋体" w:cs="宋体"/>
                <w:bCs/>
                <w:sz w:val="21"/>
                <w:szCs w:val="21"/>
              </w:rPr>
              <w:t>因此将ISO9001：2015标准“8.3产品和服务的设计和开发”的要求确认为不适用，该不适用不影响组织确保产品和服务合格以及增强顾客满意的能力或责任，删减适宜。</w:t>
            </w:r>
          </w:p>
        </w:tc>
        <w:tc>
          <w:tcPr>
            <w:tcW w:w="895" w:type="dxa"/>
            <w:vAlign w:val="top"/>
          </w:tcPr>
          <w:p>
            <w:pPr>
              <w:keepLines w:val="0"/>
              <w:pageBreakBefore w:val="0"/>
              <w:widowControl w:val="0"/>
              <w:kinsoku/>
              <w:wordWrap/>
              <w:overflowPunct/>
              <w:topLinePunct w:val="0"/>
              <w:bidi w:val="0"/>
              <w:spacing w:line="24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858" w:type="dxa"/>
            <w:vAlign w:val="top"/>
          </w:tcPr>
          <w:p>
            <w:pPr>
              <w:pageBreakBefore w:val="0"/>
              <w:widowControl w:val="0"/>
              <w:kinsoku/>
              <w:wordWrap/>
              <w:overflowPunct/>
              <w:topLinePunct w:val="0"/>
              <w:bidi w:val="0"/>
              <w:spacing w:line="240" w:lineRule="auto"/>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外部提供过程、产品和服务的控制</w:t>
            </w:r>
          </w:p>
        </w:tc>
        <w:tc>
          <w:tcPr>
            <w:tcW w:w="1166" w:type="dxa"/>
            <w:vAlign w:val="top"/>
          </w:tcPr>
          <w:p>
            <w:pPr>
              <w:pageBreakBefore w:val="0"/>
              <w:widowControl w:val="0"/>
              <w:kinsoku/>
              <w:wordWrap/>
              <w:overflowPunct/>
              <w:topLinePunct w:val="0"/>
              <w:bidi w:val="0"/>
              <w:spacing w:line="240" w:lineRule="auto"/>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Q8.4</w:t>
            </w:r>
          </w:p>
        </w:tc>
        <w:tc>
          <w:tcPr>
            <w:tcW w:w="10790" w:type="dxa"/>
            <w:vAlign w:val="top"/>
          </w:tcPr>
          <w:p>
            <w:pPr>
              <w:pageBreakBefore w:val="0"/>
              <w:widowControl w:val="0"/>
              <w:kinsoku/>
              <w:wordWrap/>
              <w:overflowPunct/>
              <w:topLinePunct w:val="0"/>
              <w:bidi w:val="0"/>
              <w:spacing w:line="240" w:lineRule="auto"/>
              <w:ind w:firstLine="420" w:firstLineChars="200"/>
              <w:jc w:val="both"/>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该公司规定了供方选择和评定的方法、职责、要求和流程，明确了在下列情况下，组织应确定对外部提供的过程、生产和生产实施的控制：a) 外部供方的过程、生产和生产构成组织自身的生产和生产的一部分；b) 外部供方替组织直接将生产和生产提供给顾客；c) 组织决定由外部供方提供过程或部分过程。公司另外还编制了《</w:t>
            </w:r>
            <w:r>
              <w:rPr>
                <w:rFonts w:hint="eastAsia" w:ascii="宋体" w:hAnsi="宋体" w:eastAsia="宋体" w:cs="宋体"/>
                <w:sz w:val="21"/>
                <w:szCs w:val="21"/>
                <w:highlight w:val="none"/>
              </w:rPr>
              <w:t>外部提供产品、服务和过程控制程序</w:t>
            </w:r>
            <w:r>
              <w:rPr>
                <w:rFonts w:hint="eastAsia" w:ascii="宋体" w:hAnsi="宋体" w:eastAsia="宋体" w:cs="宋体"/>
                <w:color w:val="000000"/>
                <w:sz w:val="21"/>
                <w:szCs w:val="21"/>
                <w:highlight w:val="none"/>
              </w:rPr>
              <w:t>》，明确了基于外部供方提供所要求的过程、生产或服务的能力，确定外部供方的评价、选择、绩效监视。</w:t>
            </w:r>
          </w:p>
          <w:p>
            <w:pPr>
              <w:pageBreakBefore w:val="0"/>
              <w:widowControl w:val="0"/>
              <w:kinsoku/>
              <w:wordWrap/>
              <w:overflowPunct/>
              <w:topLinePunct w:val="0"/>
              <w:bidi w:val="0"/>
              <w:spacing w:line="240" w:lineRule="auto"/>
              <w:ind w:firstLine="420" w:firstLineChars="200"/>
              <w:jc w:val="both"/>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1、抽查供应商评价表，供应商名称：泰安华硕科教装备有限公司</w:t>
            </w:r>
          </w:p>
          <w:p>
            <w:pPr>
              <w:pageBreakBefore w:val="0"/>
              <w:widowControl w:val="0"/>
              <w:kinsoku/>
              <w:wordWrap/>
              <w:overflowPunct/>
              <w:topLinePunct w:val="0"/>
              <w:bidi w:val="0"/>
              <w:spacing w:line="240" w:lineRule="auto"/>
              <w:ind w:firstLine="420" w:firstLineChars="200"/>
              <w:jc w:val="both"/>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主要供应产品：教学仪器、课桌、凳、实验室仪器、幼教用品及玩具、办公家具；</w:t>
            </w:r>
          </w:p>
          <w:p>
            <w:pPr>
              <w:pageBreakBefore w:val="0"/>
              <w:widowControl w:val="0"/>
              <w:kinsoku/>
              <w:wordWrap/>
              <w:overflowPunct/>
              <w:topLinePunct w:val="0"/>
              <w:bidi w:val="0"/>
              <w:spacing w:line="240" w:lineRule="auto"/>
              <w:ind w:firstLine="420" w:firstLineChars="200"/>
              <w:jc w:val="both"/>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调查内容：供货能力、价格合理程度、售后服务、产品质量、资质、信誉等</w:t>
            </w:r>
          </w:p>
          <w:p>
            <w:pPr>
              <w:pageBreakBefore w:val="0"/>
              <w:widowControl w:val="0"/>
              <w:kinsoku/>
              <w:wordWrap/>
              <w:overflowPunct/>
              <w:topLinePunct w:val="0"/>
              <w:bidi w:val="0"/>
              <w:spacing w:line="240" w:lineRule="auto"/>
              <w:ind w:firstLine="420" w:firstLineChars="200"/>
              <w:jc w:val="both"/>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评审意见：供货能力、质量控制能力、管理能力、综合能力合格，达到了公司要求。</w:t>
            </w:r>
          </w:p>
          <w:p>
            <w:pPr>
              <w:pageBreakBefore w:val="0"/>
              <w:widowControl w:val="0"/>
              <w:kinsoku/>
              <w:wordWrap/>
              <w:overflowPunct/>
              <w:topLinePunct w:val="0"/>
              <w:bidi w:val="0"/>
              <w:spacing w:line="240" w:lineRule="auto"/>
              <w:ind w:firstLine="420" w:firstLineChars="200"/>
              <w:jc w:val="both"/>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评价人：周建立、杨东景、董军，批准人：郝妍。</w:t>
            </w:r>
          </w:p>
          <w:p>
            <w:pPr>
              <w:pageBreakBefore w:val="0"/>
              <w:widowControl w:val="0"/>
              <w:kinsoku/>
              <w:wordWrap/>
              <w:overflowPunct/>
              <w:topLinePunct w:val="0"/>
              <w:bidi w:val="0"/>
              <w:spacing w:line="240" w:lineRule="auto"/>
              <w:ind w:firstLine="420" w:firstLineChars="200"/>
              <w:jc w:val="both"/>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2、抽查供应商评价表，供应商名称：上海瀚景电子科技有限公司</w:t>
            </w:r>
          </w:p>
          <w:p>
            <w:pPr>
              <w:pageBreakBefore w:val="0"/>
              <w:widowControl w:val="0"/>
              <w:kinsoku/>
              <w:wordWrap/>
              <w:overflowPunct/>
              <w:topLinePunct w:val="0"/>
              <w:bidi w:val="0"/>
              <w:spacing w:line="240" w:lineRule="auto"/>
              <w:ind w:firstLine="420" w:firstLineChars="200"/>
              <w:jc w:val="both"/>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主要供应产品：计算机及周边设备、多媒体设备、电产品；</w:t>
            </w:r>
          </w:p>
          <w:p>
            <w:pPr>
              <w:pageBreakBefore w:val="0"/>
              <w:widowControl w:val="0"/>
              <w:kinsoku/>
              <w:wordWrap/>
              <w:overflowPunct/>
              <w:topLinePunct w:val="0"/>
              <w:bidi w:val="0"/>
              <w:spacing w:line="240" w:lineRule="auto"/>
              <w:ind w:firstLine="420" w:firstLineChars="200"/>
              <w:jc w:val="both"/>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调查内容：供货能力、价格合理程度、售后服务、产品质量、资质、信誉等</w:t>
            </w:r>
          </w:p>
          <w:p>
            <w:pPr>
              <w:pageBreakBefore w:val="0"/>
              <w:widowControl w:val="0"/>
              <w:kinsoku/>
              <w:wordWrap/>
              <w:overflowPunct/>
              <w:topLinePunct w:val="0"/>
              <w:bidi w:val="0"/>
              <w:spacing w:line="240" w:lineRule="auto"/>
              <w:ind w:firstLine="420" w:firstLineChars="200"/>
              <w:jc w:val="both"/>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评审意见：供货能力、质量控制能力、管理能力、综合能力合格，达到了公司要求。</w:t>
            </w:r>
          </w:p>
          <w:p>
            <w:pPr>
              <w:pageBreakBefore w:val="0"/>
              <w:widowControl w:val="0"/>
              <w:kinsoku/>
              <w:wordWrap/>
              <w:overflowPunct/>
              <w:topLinePunct w:val="0"/>
              <w:bidi w:val="0"/>
              <w:spacing w:line="240" w:lineRule="auto"/>
              <w:ind w:firstLine="420" w:firstLineChars="200"/>
              <w:jc w:val="both"/>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评价人：周建立、杨东景、董军，批准人：郝妍。</w:t>
            </w:r>
          </w:p>
          <w:p>
            <w:pPr>
              <w:pageBreakBefore w:val="0"/>
              <w:widowControl w:val="0"/>
              <w:kinsoku/>
              <w:wordWrap/>
              <w:overflowPunct/>
              <w:topLinePunct w:val="0"/>
              <w:bidi w:val="0"/>
              <w:spacing w:line="240" w:lineRule="auto"/>
              <w:ind w:firstLine="420" w:firstLineChars="200"/>
              <w:jc w:val="both"/>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3、再抽查供应商天津市欧亿窗饰销售有限公司，主要供应产品：窗帘；</w:t>
            </w:r>
          </w:p>
          <w:p>
            <w:pPr>
              <w:pageBreakBefore w:val="0"/>
              <w:widowControl w:val="0"/>
              <w:kinsoku/>
              <w:wordWrap/>
              <w:overflowPunct/>
              <w:topLinePunct w:val="0"/>
              <w:bidi w:val="0"/>
              <w:spacing w:line="24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查上次不符合为未对供应商</w:t>
            </w:r>
            <w:r>
              <w:rPr>
                <w:rFonts w:hint="eastAsia" w:ascii="宋体" w:hAnsi="宋体" w:eastAsia="宋体" w:cs="宋体"/>
                <w:color w:val="auto"/>
                <w:sz w:val="21"/>
                <w:szCs w:val="21"/>
                <w:highlight w:val="none"/>
              </w:rPr>
              <w:t>天津市欧亿窗饰销售有限公司进行调查评价的证据，</w:t>
            </w:r>
            <w:r>
              <w:rPr>
                <w:rFonts w:hint="eastAsia" w:ascii="宋体" w:hAnsi="宋体" w:eastAsia="宋体" w:cs="宋体"/>
                <w:color w:val="auto"/>
                <w:sz w:val="21"/>
                <w:szCs w:val="21"/>
                <w:highlight w:val="none"/>
                <w:lang w:val="en-US" w:eastAsia="zh-CN"/>
              </w:rPr>
              <w:t>本次审核，已完成整改，整改有效</w:t>
            </w:r>
            <w:r>
              <w:rPr>
                <w:rFonts w:hint="eastAsia" w:ascii="宋体" w:hAnsi="宋体" w:eastAsia="宋体" w:cs="宋体"/>
                <w:color w:val="auto"/>
                <w:sz w:val="21"/>
                <w:szCs w:val="21"/>
                <w:highlight w:val="none"/>
              </w:rPr>
              <w:t>。</w:t>
            </w:r>
          </w:p>
          <w:p>
            <w:pPr>
              <w:pageBreakBefore w:val="0"/>
              <w:widowControl w:val="0"/>
              <w:kinsoku/>
              <w:wordWrap/>
              <w:overflowPunct/>
              <w:topLinePunct w:val="0"/>
              <w:bidi w:val="0"/>
              <w:spacing w:line="240" w:lineRule="auto"/>
              <w:ind w:firstLine="420" w:firstLineChars="200"/>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rPr>
              <w:t>提供了采购计划多份，抽查</w:t>
            </w:r>
            <w:r>
              <w:rPr>
                <w:rFonts w:hint="eastAsia" w:ascii="宋体" w:hAnsi="宋体" w:eastAsia="宋体" w:cs="宋体"/>
                <w:color w:val="000000"/>
                <w:sz w:val="21"/>
                <w:szCs w:val="21"/>
                <w:highlight w:val="none"/>
                <w:lang w:val="en-US" w:eastAsia="zh-CN"/>
              </w:rPr>
              <w:t>2022年5月</w:t>
            </w:r>
            <w:r>
              <w:rPr>
                <w:rFonts w:hint="eastAsia" w:ascii="宋体" w:hAnsi="宋体" w:eastAsia="宋体" w:cs="宋体"/>
                <w:color w:val="000000"/>
                <w:sz w:val="21"/>
                <w:szCs w:val="21"/>
                <w:highlight w:val="none"/>
              </w:rPr>
              <w:t>采购计划，编制：董军，批准：郝妍，采购产品能覆盖企业认证范围内的产品。</w:t>
            </w:r>
          </w:p>
        </w:tc>
        <w:tc>
          <w:tcPr>
            <w:tcW w:w="895" w:type="dxa"/>
            <w:vAlign w:val="top"/>
          </w:tcPr>
          <w:p>
            <w:pPr>
              <w:keepLines w:val="0"/>
              <w:pageBreakBefore w:val="0"/>
              <w:widowControl w:val="0"/>
              <w:kinsoku/>
              <w:wordWrap/>
              <w:overflowPunct/>
              <w:topLinePunct w:val="0"/>
              <w:bidi w:val="0"/>
              <w:spacing w:line="240" w:lineRule="auto"/>
              <w:jc w:val="both"/>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58" w:type="dxa"/>
            <w:vAlign w:val="center"/>
          </w:tcPr>
          <w:p>
            <w:pPr>
              <w:pageBreakBefore w:val="0"/>
              <w:widowControl w:val="0"/>
              <w:kinsoku/>
              <w:wordWrap/>
              <w:overflowPunct/>
              <w:topLinePunct w:val="0"/>
              <w:bidi w:val="0"/>
              <w:spacing w:line="240" w:lineRule="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销售和服务提供的控制</w:t>
            </w:r>
          </w:p>
        </w:tc>
        <w:tc>
          <w:tcPr>
            <w:tcW w:w="1166" w:type="dxa"/>
            <w:vAlign w:val="center"/>
          </w:tcPr>
          <w:p>
            <w:pPr>
              <w:pageBreakBefore w:val="0"/>
              <w:widowControl w:val="0"/>
              <w:kinsoku/>
              <w:wordWrap/>
              <w:overflowPunct/>
              <w:topLinePunct w:val="0"/>
              <w:bidi w:val="0"/>
              <w:spacing w:line="240" w:lineRule="auto"/>
              <w:ind w:right="-6" w:rightChars="-3"/>
              <w:rPr>
                <w:rFonts w:hint="eastAsia" w:ascii="宋体" w:hAnsi="宋体" w:eastAsia="宋体" w:cs="宋体"/>
                <w:sz w:val="21"/>
                <w:szCs w:val="21"/>
                <w:highlight w:val="none"/>
              </w:rPr>
            </w:pPr>
          </w:p>
          <w:p>
            <w:pPr>
              <w:pageBreakBefore w:val="0"/>
              <w:widowControl w:val="0"/>
              <w:kinsoku/>
              <w:wordWrap/>
              <w:overflowPunct/>
              <w:topLinePunct w:val="0"/>
              <w:bidi w:val="0"/>
              <w:spacing w:line="240" w:lineRule="auto"/>
              <w:ind w:right="-6" w:rightChars="-3"/>
              <w:rPr>
                <w:rFonts w:hint="eastAsia" w:ascii="宋体" w:hAnsi="宋体" w:eastAsia="宋体" w:cs="宋体"/>
                <w:sz w:val="21"/>
                <w:szCs w:val="21"/>
                <w:highlight w:val="none"/>
              </w:rPr>
            </w:pPr>
          </w:p>
          <w:p>
            <w:pPr>
              <w:pageBreakBefore w:val="0"/>
              <w:widowControl w:val="0"/>
              <w:kinsoku/>
              <w:wordWrap/>
              <w:overflowPunct/>
              <w:topLinePunct w:val="0"/>
              <w:bidi w:val="0"/>
              <w:spacing w:line="240" w:lineRule="auto"/>
              <w:ind w:right="-6" w:rightChars="-3"/>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Q：8.5.1 </w:t>
            </w:r>
          </w:p>
          <w:p>
            <w:pPr>
              <w:pageBreakBefore w:val="0"/>
              <w:widowControl w:val="0"/>
              <w:kinsoku/>
              <w:wordWrap/>
              <w:overflowPunct/>
              <w:topLinePunct w:val="0"/>
              <w:bidi w:val="0"/>
              <w:spacing w:line="240" w:lineRule="auto"/>
              <w:ind w:right="-6" w:rightChars="-3"/>
              <w:rPr>
                <w:rFonts w:hint="eastAsia" w:ascii="宋体" w:hAnsi="宋体" w:eastAsia="宋体" w:cs="宋体"/>
                <w:kern w:val="2"/>
                <w:sz w:val="21"/>
                <w:szCs w:val="21"/>
                <w:highlight w:val="none"/>
                <w:lang w:val="en-US" w:eastAsia="zh-CN" w:bidi="ar-SA"/>
              </w:rPr>
            </w:pPr>
          </w:p>
        </w:tc>
        <w:tc>
          <w:tcPr>
            <w:tcW w:w="10790" w:type="dxa"/>
            <w:vAlign w:val="center"/>
          </w:tcPr>
          <w:p>
            <w:pPr>
              <w:pageBreakBefore w:val="0"/>
              <w:widowControl w:val="0"/>
              <w:kinsoku/>
              <w:wordWrap/>
              <w:overflowPunct/>
              <w:topLinePunct w:val="0"/>
              <w:bidi w:val="0"/>
              <w:spacing w:line="240" w:lineRule="auto"/>
              <w:ind w:right="-6" w:rightChars="-3"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公司编制并执行《销售管理制度》、《员工守则》、《员工行为规范》等。</w:t>
            </w:r>
          </w:p>
          <w:p>
            <w:pPr>
              <w:pageBreakBefore w:val="0"/>
              <w:widowControl w:val="0"/>
              <w:kinsoku/>
              <w:wordWrap/>
              <w:overflowPunct/>
              <w:topLinePunct w:val="0"/>
              <w:bidi w:val="0"/>
              <w:spacing w:line="240" w:lineRule="auto"/>
              <w:ind w:right="-6" w:rightChars="-3"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现场查看营销工作情况：</w:t>
            </w:r>
          </w:p>
          <w:p>
            <w:pPr>
              <w:pageBreakBefore w:val="0"/>
              <w:widowControl w:val="0"/>
              <w:kinsoku/>
              <w:wordWrap/>
              <w:overflowPunct/>
              <w:topLinePunct w:val="0"/>
              <w:bidi w:val="0"/>
              <w:spacing w:line="240" w:lineRule="auto"/>
              <w:ind w:right="-6" w:rightChars="-3"/>
              <w:rPr>
                <w:rFonts w:hint="eastAsia" w:ascii="宋体" w:hAnsi="宋体" w:eastAsia="宋体" w:cs="宋体"/>
                <w:sz w:val="21"/>
                <w:szCs w:val="21"/>
                <w:highlight w:val="none"/>
              </w:rPr>
            </w:pPr>
            <w:r>
              <w:rPr>
                <w:rFonts w:hint="eastAsia" w:ascii="宋体" w:hAnsi="宋体" w:eastAsia="宋体" w:cs="宋体"/>
                <w:sz w:val="21"/>
                <w:szCs w:val="21"/>
                <w:highlight w:val="none"/>
              </w:rPr>
              <w:t>1.编制的管理制度规定了服务提供特性和验收标准，合同的洽商、评定和签订，售后服务保证，客户投诉的处置以及销售人员的产品知识业务能力的要求。文件可以指导销售过程的进行。</w:t>
            </w:r>
          </w:p>
          <w:p>
            <w:pPr>
              <w:pageBreakBefore w:val="0"/>
              <w:widowControl w:val="0"/>
              <w:kinsoku/>
              <w:wordWrap/>
              <w:overflowPunct/>
              <w:topLinePunct w:val="0"/>
              <w:bidi w:val="0"/>
              <w:spacing w:line="240" w:lineRule="auto"/>
              <w:ind w:right="-6" w:rightChars="-3"/>
              <w:rPr>
                <w:rFonts w:hint="eastAsia" w:ascii="宋体" w:hAnsi="宋体" w:eastAsia="宋体" w:cs="宋体"/>
                <w:sz w:val="21"/>
                <w:szCs w:val="21"/>
                <w:highlight w:val="none"/>
              </w:rPr>
            </w:pPr>
            <w:r>
              <w:rPr>
                <w:rFonts w:hint="eastAsia" w:ascii="宋体" w:hAnsi="宋体" w:eastAsia="宋体" w:cs="宋体"/>
                <w:sz w:val="21"/>
                <w:szCs w:val="21"/>
                <w:highlight w:val="none"/>
              </w:rPr>
              <w:t>2.资源配置齐备，设施设备可以满足要求。</w:t>
            </w:r>
          </w:p>
          <w:p>
            <w:pPr>
              <w:pageBreakBefore w:val="0"/>
              <w:widowControl w:val="0"/>
              <w:kinsoku/>
              <w:wordWrap/>
              <w:overflowPunct/>
              <w:topLinePunct w:val="0"/>
              <w:bidi w:val="0"/>
              <w:spacing w:line="240" w:lineRule="auto"/>
              <w:ind w:right="-6" w:rightChars="-3"/>
              <w:rPr>
                <w:rFonts w:hint="eastAsia" w:ascii="宋体" w:hAnsi="宋体" w:eastAsia="宋体" w:cs="宋体"/>
                <w:sz w:val="21"/>
                <w:szCs w:val="21"/>
                <w:highlight w:val="none"/>
              </w:rPr>
            </w:pPr>
            <w:r>
              <w:rPr>
                <w:rFonts w:hint="eastAsia" w:ascii="宋体" w:hAnsi="宋体" w:eastAsia="宋体" w:cs="宋体"/>
                <w:sz w:val="21"/>
                <w:szCs w:val="21"/>
                <w:highlight w:val="none"/>
              </w:rPr>
              <w:t>3.查看销售合同都进行了评审、加盖了公司公章，参见Q8.2工作单。</w:t>
            </w:r>
          </w:p>
          <w:p>
            <w:pPr>
              <w:pageBreakBefore w:val="0"/>
              <w:widowControl w:val="0"/>
              <w:kinsoku/>
              <w:wordWrap/>
              <w:overflowPunct/>
              <w:topLinePunct w:val="0"/>
              <w:bidi w:val="0"/>
              <w:spacing w:line="240" w:lineRule="auto"/>
              <w:ind w:right="-6" w:rightChars="-3"/>
              <w:rPr>
                <w:rFonts w:hint="eastAsia" w:ascii="宋体" w:hAnsi="宋体" w:eastAsia="宋体" w:cs="宋体"/>
                <w:sz w:val="21"/>
                <w:szCs w:val="21"/>
                <w:highlight w:val="none"/>
              </w:rPr>
            </w:pPr>
            <w:r>
              <w:rPr>
                <w:rFonts w:hint="eastAsia" w:ascii="宋体" w:hAnsi="宋体" w:eastAsia="宋体" w:cs="宋体"/>
                <w:sz w:val="21"/>
                <w:szCs w:val="21"/>
                <w:highlight w:val="none"/>
              </w:rPr>
              <w:t>4.提供有产品检验记录表、产品合格证，参见Q8.6工作单。</w:t>
            </w:r>
          </w:p>
          <w:p>
            <w:pPr>
              <w:pageBreakBefore w:val="0"/>
              <w:widowControl w:val="0"/>
              <w:kinsoku/>
              <w:wordWrap/>
              <w:overflowPunct/>
              <w:topLinePunct w:val="0"/>
              <w:bidi w:val="0"/>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5.管理人员以及业务员、质检员都经过了培训，能力满足要求，无特种作业人员。</w:t>
            </w:r>
          </w:p>
          <w:p>
            <w:pPr>
              <w:pageBreakBefore w:val="0"/>
              <w:widowControl w:val="0"/>
              <w:kinsoku/>
              <w:wordWrap/>
              <w:overflowPunct/>
              <w:topLinePunct w:val="0"/>
              <w:bidi w:val="0"/>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6.公司将销售过程定为需要确认的过程。查有《特殊过程确认报告》，202</w:t>
            </w:r>
            <w:r>
              <w:rPr>
                <w:rFonts w:hint="eastAsia" w:ascii="宋体" w:hAnsi="宋体" w:eastAsia="宋体" w:cs="宋体"/>
                <w:sz w:val="21"/>
                <w:szCs w:val="21"/>
                <w:highlight w:val="none"/>
                <w:lang w:val="en-US" w:eastAsia="zh-CN"/>
              </w:rPr>
              <w:t>2.4.16</w:t>
            </w:r>
            <w:r>
              <w:rPr>
                <w:rFonts w:hint="eastAsia" w:ascii="宋体" w:hAnsi="宋体" w:eastAsia="宋体" w:cs="宋体"/>
                <w:sz w:val="21"/>
                <w:szCs w:val="21"/>
                <w:highlight w:val="none"/>
              </w:rPr>
              <w:t>日对销售过程的人员、机械设备、文件、记录等方面进行了过程确认，结论：可以满足过程能力的需求、提供合格的服务。确认人员：周建立、郝妍、董军、杨东景等。</w:t>
            </w:r>
          </w:p>
          <w:p>
            <w:pPr>
              <w:pageBreakBefore w:val="0"/>
              <w:widowControl w:val="0"/>
              <w:kinsoku/>
              <w:wordWrap/>
              <w:overflowPunct/>
              <w:topLinePunct w:val="0"/>
              <w:bidi w:val="0"/>
              <w:spacing w:line="240" w:lineRule="auto"/>
              <w:ind w:right="-6" w:rightChars="-3"/>
              <w:rPr>
                <w:rFonts w:hint="eastAsia" w:ascii="宋体" w:hAnsi="宋体" w:eastAsia="宋体" w:cs="宋体"/>
                <w:sz w:val="21"/>
                <w:szCs w:val="21"/>
                <w:highlight w:val="none"/>
              </w:rPr>
            </w:pPr>
            <w:r>
              <w:rPr>
                <w:rFonts w:hint="eastAsia" w:ascii="宋体" w:hAnsi="宋体" w:eastAsia="宋体" w:cs="宋体"/>
                <w:sz w:val="21"/>
                <w:szCs w:val="21"/>
                <w:highlight w:val="none"/>
              </w:rPr>
              <w:t>7.制定了销售管理制度等，规定了操作的步骤、方法、注意事项等，防止人为错误。</w:t>
            </w:r>
          </w:p>
          <w:p>
            <w:pPr>
              <w:pageBreakBefore w:val="0"/>
              <w:widowControl w:val="0"/>
              <w:kinsoku/>
              <w:wordWrap/>
              <w:overflowPunct/>
              <w:topLinePunct w:val="0"/>
              <w:bidi w:val="0"/>
              <w:spacing w:line="240" w:lineRule="auto"/>
              <w:ind w:right="-6" w:rightChars="-3"/>
              <w:rPr>
                <w:rFonts w:hint="eastAsia" w:ascii="宋体" w:hAnsi="宋体" w:eastAsia="宋体" w:cs="宋体"/>
                <w:sz w:val="21"/>
                <w:szCs w:val="21"/>
                <w:highlight w:val="none"/>
              </w:rPr>
            </w:pPr>
            <w:r>
              <w:rPr>
                <w:rFonts w:hint="eastAsia" w:ascii="宋体" w:hAnsi="宋体" w:eastAsia="宋体" w:cs="宋体"/>
                <w:sz w:val="21"/>
                <w:szCs w:val="21"/>
                <w:highlight w:val="none"/>
              </w:rPr>
              <w:t>8.所有的产品都必须经检验合格后方可交付。销售部负责产品的检验和放行，产品经过检验合格后方可放行和交付，销售部负责产品交付和交付后活动的实施，并负责联系售后服务。发货前由销售部开具发货单，依据发货单发货，随货同行有产品合格证，公司负责联系货运交付到指定地点，经查出库、交付手续齐全。售后服务由销售部业务员按照售后服务规范执行，去客户现场指导安装服务等，暂未发生。</w:t>
            </w:r>
          </w:p>
          <w:p>
            <w:pPr>
              <w:pageBreakBefore w:val="0"/>
              <w:widowControl w:val="0"/>
              <w:kinsoku/>
              <w:wordWrap/>
              <w:overflowPunct/>
              <w:topLinePunct w:val="0"/>
              <w:bidi w:val="0"/>
              <w:spacing w:line="240" w:lineRule="auto"/>
              <w:ind w:right="-6" w:rightChars="-3"/>
              <w:rPr>
                <w:rFonts w:hint="eastAsia" w:ascii="宋体" w:hAnsi="宋体" w:eastAsia="宋体" w:cs="宋体"/>
                <w:sz w:val="21"/>
                <w:szCs w:val="21"/>
                <w:highlight w:val="none"/>
              </w:rPr>
            </w:pPr>
            <w:r>
              <w:rPr>
                <w:rFonts w:hint="eastAsia" w:ascii="宋体" w:hAnsi="宋体" w:eastAsia="宋体" w:cs="宋体"/>
                <w:sz w:val="21"/>
                <w:szCs w:val="21"/>
                <w:highlight w:val="none"/>
              </w:rPr>
              <w:t>9.现场了解到周某正在整理2021年度的销售合同资料，归档管理。</w:t>
            </w:r>
          </w:p>
          <w:p>
            <w:pPr>
              <w:pStyle w:val="20"/>
              <w:pageBreakBefore w:val="0"/>
              <w:widowControl w:val="0"/>
              <w:kinsoku/>
              <w:wordWrap/>
              <w:overflowPunct/>
              <w:topLinePunct w:val="0"/>
              <w:bidi w:val="0"/>
              <w:spacing w:line="240" w:lineRule="auto"/>
              <w:ind w:left="0" w:right="-6" w:rightChars="-3" w:firstLine="420" w:firstLineChars="200"/>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rPr>
              <w:t>组织销售服务过程的控制符合标准规定的要求。</w:t>
            </w:r>
          </w:p>
        </w:tc>
        <w:tc>
          <w:tcPr>
            <w:tcW w:w="895" w:type="dxa"/>
            <w:vAlign w:val="top"/>
          </w:tcPr>
          <w:p>
            <w:pPr>
              <w:keepLines w:val="0"/>
              <w:pageBreakBefore w:val="0"/>
              <w:widowControl w:val="0"/>
              <w:kinsoku/>
              <w:wordWrap/>
              <w:overflowPunct/>
              <w:topLinePunct w:val="0"/>
              <w:bidi w:val="0"/>
              <w:spacing w:line="24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858" w:type="dxa"/>
            <w:vAlign w:val="center"/>
          </w:tcPr>
          <w:p>
            <w:pPr>
              <w:pageBreakBefore w:val="0"/>
              <w:widowControl w:val="0"/>
              <w:kinsoku/>
              <w:wordWrap/>
              <w:overflowPunct/>
              <w:topLinePunct w:val="0"/>
              <w:bidi w:val="0"/>
              <w:spacing w:line="240" w:lineRule="auto"/>
              <w:rPr>
                <w:rFonts w:hint="eastAsia" w:ascii="宋体" w:hAnsi="宋体" w:eastAsia="宋体" w:cs="宋体"/>
                <w:sz w:val="21"/>
                <w:szCs w:val="21"/>
              </w:rPr>
            </w:pPr>
            <w:r>
              <w:rPr>
                <w:rFonts w:hint="eastAsia" w:ascii="宋体" w:hAnsi="宋体" w:eastAsia="宋体" w:cs="宋体"/>
                <w:sz w:val="21"/>
                <w:szCs w:val="21"/>
              </w:rPr>
              <w:t>产品标识和可追朔性</w:t>
            </w:r>
          </w:p>
        </w:tc>
        <w:tc>
          <w:tcPr>
            <w:tcW w:w="1166" w:type="dxa"/>
          </w:tcPr>
          <w:p>
            <w:pPr>
              <w:pageBreakBefore w:val="0"/>
              <w:widowControl w:val="0"/>
              <w:kinsoku/>
              <w:wordWrap/>
              <w:overflowPunct/>
              <w:topLinePunct w:val="0"/>
              <w:bidi w:val="0"/>
              <w:spacing w:line="240" w:lineRule="auto"/>
              <w:rPr>
                <w:rFonts w:hint="eastAsia" w:ascii="宋体" w:hAnsi="宋体" w:eastAsia="宋体" w:cs="宋体"/>
                <w:sz w:val="21"/>
                <w:szCs w:val="21"/>
              </w:rPr>
            </w:pPr>
            <w:r>
              <w:rPr>
                <w:rFonts w:hint="eastAsia" w:ascii="宋体" w:hAnsi="宋体" w:eastAsia="宋体" w:cs="宋体"/>
                <w:sz w:val="21"/>
                <w:szCs w:val="21"/>
              </w:rPr>
              <w:t>Q8.5.2</w:t>
            </w:r>
          </w:p>
        </w:tc>
        <w:tc>
          <w:tcPr>
            <w:tcW w:w="10790" w:type="dxa"/>
          </w:tcPr>
          <w:p>
            <w:pPr>
              <w:pageBreakBefore w:val="0"/>
              <w:widowControl w:val="0"/>
              <w:kinsoku/>
              <w:wordWrap/>
              <w:overflowPunct/>
              <w:topLinePunct w:val="0"/>
              <w:bidi w:val="0"/>
              <w:spacing w:line="240" w:lineRule="auto"/>
              <w:ind w:firstLine="315" w:firstLineChars="150"/>
              <w:rPr>
                <w:rFonts w:hint="eastAsia" w:ascii="宋体" w:hAnsi="宋体" w:eastAsia="宋体" w:cs="宋体"/>
                <w:sz w:val="21"/>
                <w:szCs w:val="21"/>
              </w:rPr>
            </w:pPr>
            <w:r>
              <w:rPr>
                <w:rFonts w:hint="eastAsia" w:ascii="宋体" w:hAnsi="宋体" w:eastAsia="宋体" w:cs="宋体"/>
                <w:sz w:val="21"/>
                <w:szCs w:val="21"/>
              </w:rPr>
              <w:t>在《管理手册》中规定公司向顾客提供商品时采取适当措施，确保商品进入公司到销售过程中均被明确标识，包括商品名称、种类、规格等信息及销售记录和票据等追溯查阅信息。</w:t>
            </w:r>
          </w:p>
          <w:p>
            <w:pPr>
              <w:pageBreakBefore w:val="0"/>
              <w:widowControl w:val="0"/>
              <w:kinsoku/>
              <w:wordWrap/>
              <w:overflowPunct/>
              <w:topLinePunct w:val="0"/>
              <w:bidi w:val="0"/>
              <w:spacing w:line="240" w:lineRule="auto"/>
              <w:ind w:firstLine="315" w:firstLineChars="150"/>
              <w:rPr>
                <w:rFonts w:hint="eastAsia" w:ascii="宋体" w:hAnsi="宋体" w:eastAsia="宋体" w:cs="宋体"/>
                <w:sz w:val="21"/>
                <w:szCs w:val="21"/>
              </w:rPr>
            </w:pPr>
            <w:r>
              <w:rPr>
                <w:rFonts w:hint="eastAsia" w:ascii="宋体" w:hAnsi="宋体" w:eastAsia="宋体" w:cs="宋体"/>
                <w:sz w:val="21"/>
                <w:szCs w:val="21"/>
              </w:rPr>
              <w:t>部门介绍公司实行零库存管理，在供方处产品验收合格后直接发货，产品通常保留厂家外包装、标签、合格证等方式对产品进行标识，产品附有“合格证”有产品名称、型号、日期、质检人员代号等信息。产品外包装上有产品名称、规格型号、生产单位、数量等。根据采购单、合同订单编号，检验记录等可以进行追溯。</w:t>
            </w:r>
          </w:p>
          <w:p>
            <w:pPr>
              <w:pageBreakBefore w:val="0"/>
              <w:widowControl w:val="0"/>
              <w:kinsoku/>
              <w:wordWrap/>
              <w:overflowPunct/>
              <w:topLinePunct w:val="0"/>
              <w:bidi w:val="0"/>
              <w:spacing w:line="240" w:lineRule="auto"/>
              <w:ind w:firstLine="315" w:firstLineChars="150"/>
              <w:rPr>
                <w:rFonts w:hint="eastAsia" w:ascii="宋体" w:hAnsi="宋体" w:eastAsia="宋体" w:cs="宋体"/>
                <w:sz w:val="21"/>
                <w:szCs w:val="21"/>
              </w:rPr>
            </w:pPr>
            <w:r>
              <w:rPr>
                <w:rFonts w:hint="eastAsia" w:ascii="宋体" w:hAnsi="宋体" w:eastAsia="宋体" w:cs="宋体"/>
                <w:sz w:val="21"/>
                <w:szCs w:val="21"/>
              </w:rPr>
              <w:t>企业产品标识管理基本符合标准要求，并满足实际需要。</w:t>
            </w:r>
          </w:p>
        </w:tc>
        <w:tc>
          <w:tcPr>
            <w:tcW w:w="895" w:type="dxa"/>
            <w:vAlign w:val="top"/>
          </w:tcPr>
          <w:p>
            <w:pPr>
              <w:keepLines w:val="0"/>
              <w:pageBreakBefore w:val="0"/>
              <w:widowControl w:val="0"/>
              <w:kinsoku/>
              <w:wordWrap/>
              <w:overflowPunct/>
              <w:topLinePunct w:val="0"/>
              <w:bidi w:val="0"/>
              <w:spacing w:line="24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858" w:type="dxa"/>
            <w:vAlign w:val="center"/>
          </w:tcPr>
          <w:p>
            <w:pPr>
              <w:pageBreakBefore w:val="0"/>
              <w:widowControl w:val="0"/>
              <w:kinsoku/>
              <w:wordWrap/>
              <w:overflowPunct/>
              <w:topLinePunct w:val="0"/>
              <w:bidi w:val="0"/>
              <w:adjustRightInd w:val="0"/>
              <w:snapToGrid w:val="0"/>
              <w:spacing w:line="240" w:lineRule="auto"/>
              <w:ind w:right="105" w:rightChars="50"/>
              <w:jc w:val="left"/>
              <w:textAlignment w:val="baseline"/>
              <w:rPr>
                <w:rFonts w:hint="eastAsia" w:ascii="宋体" w:hAnsi="宋体" w:eastAsia="宋体" w:cs="宋体"/>
                <w:sz w:val="21"/>
                <w:szCs w:val="21"/>
              </w:rPr>
            </w:pPr>
            <w:r>
              <w:rPr>
                <w:rFonts w:hint="eastAsia" w:ascii="宋体" w:hAnsi="宋体" w:eastAsia="宋体" w:cs="宋体"/>
                <w:sz w:val="21"/>
                <w:szCs w:val="21"/>
              </w:rPr>
              <w:t>顾客或外部供方的财产</w:t>
            </w:r>
          </w:p>
          <w:p>
            <w:pPr>
              <w:pageBreakBefore w:val="0"/>
              <w:widowControl w:val="0"/>
              <w:kinsoku/>
              <w:wordWrap/>
              <w:overflowPunct/>
              <w:topLinePunct w:val="0"/>
              <w:bidi w:val="0"/>
              <w:spacing w:line="240" w:lineRule="auto"/>
              <w:rPr>
                <w:rFonts w:hint="eastAsia" w:ascii="宋体" w:hAnsi="宋体" w:eastAsia="宋体" w:cs="宋体"/>
                <w:kern w:val="2"/>
                <w:sz w:val="21"/>
                <w:szCs w:val="21"/>
                <w:lang w:val="en-US" w:eastAsia="zh-CN" w:bidi="ar-SA"/>
              </w:rPr>
            </w:pPr>
          </w:p>
        </w:tc>
        <w:tc>
          <w:tcPr>
            <w:tcW w:w="1166" w:type="dxa"/>
            <w:vAlign w:val="center"/>
          </w:tcPr>
          <w:p>
            <w:pPr>
              <w:pageBreakBefore w:val="0"/>
              <w:widowControl w:val="0"/>
              <w:kinsoku/>
              <w:wordWrap/>
              <w:overflowPunct/>
              <w:topLinePunct w:val="0"/>
              <w:bidi w:val="0"/>
              <w:spacing w:line="24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Q8.5.3</w:t>
            </w:r>
          </w:p>
        </w:tc>
        <w:tc>
          <w:tcPr>
            <w:tcW w:w="10790" w:type="dxa"/>
            <w:vAlign w:val="center"/>
          </w:tcPr>
          <w:p>
            <w:pPr>
              <w:pageBreakBefore w:val="0"/>
              <w:widowControl w:val="0"/>
              <w:kinsoku/>
              <w:wordWrap/>
              <w:overflowPunct/>
              <w:topLinePunct w:val="0"/>
              <w:bidi w:val="0"/>
              <w:spacing w:line="24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公司在管理手册中，规定了对顾客或外部供方财产的管理，明确了对顾客或外部供方财产的登记、验收、保护、使用、对顾客提供的技术资料（包括图纸）的识别、审核及相关证据获取等相关要求。</w:t>
            </w:r>
          </w:p>
          <w:p>
            <w:pPr>
              <w:pageBreakBefore w:val="0"/>
              <w:widowControl w:val="0"/>
              <w:kinsoku/>
              <w:wordWrap/>
              <w:overflowPunct/>
              <w:topLinePunct w:val="0"/>
              <w:bidi w:val="0"/>
              <w:spacing w:line="24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目前公司无外部供方的财产，涉及的顾客财产仅为顾客信息，公司对顾客相关信息做相关保密规定。</w:t>
            </w:r>
          </w:p>
          <w:p>
            <w:pPr>
              <w:pageBreakBefore w:val="0"/>
              <w:widowControl w:val="0"/>
              <w:kinsoku/>
              <w:wordWrap/>
              <w:overflowPunct/>
              <w:topLinePunct w:val="0"/>
              <w:bidi w:val="0"/>
              <w:spacing w:line="240" w:lineRule="auto"/>
              <w:ind w:firstLine="420" w:firstLineChars="200"/>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顾客或外部供方的财产管理符合要求。</w:t>
            </w:r>
          </w:p>
        </w:tc>
        <w:tc>
          <w:tcPr>
            <w:tcW w:w="895" w:type="dxa"/>
            <w:vAlign w:val="top"/>
          </w:tcPr>
          <w:p>
            <w:pPr>
              <w:keepLines w:val="0"/>
              <w:pageBreakBefore w:val="0"/>
              <w:widowControl w:val="0"/>
              <w:kinsoku/>
              <w:wordWrap/>
              <w:overflowPunct/>
              <w:topLinePunct w:val="0"/>
              <w:bidi w:val="0"/>
              <w:spacing w:line="240" w:lineRule="auto"/>
              <w:jc w:val="both"/>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6" w:hRule="atLeast"/>
          <w:jc w:val="center"/>
        </w:trPr>
        <w:tc>
          <w:tcPr>
            <w:tcW w:w="1858" w:type="dxa"/>
            <w:vAlign w:val="center"/>
          </w:tcPr>
          <w:p>
            <w:pPr>
              <w:pageBreakBefore w:val="0"/>
              <w:widowControl w:val="0"/>
              <w:kinsoku/>
              <w:wordWrap/>
              <w:overflowPunct/>
              <w:topLinePunct w:val="0"/>
              <w:bidi w:val="0"/>
              <w:spacing w:line="240" w:lineRule="auto"/>
              <w:rPr>
                <w:rFonts w:hint="eastAsia" w:ascii="宋体" w:hAnsi="宋体" w:eastAsia="宋体" w:cs="宋体"/>
                <w:sz w:val="21"/>
                <w:szCs w:val="21"/>
              </w:rPr>
            </w:pPr>
            <w:r>
              <w:rPr>
                <w:rFonts w:hint="eastAsia" w:ascii="宋体" w:hAnsi="宋体" w:eastAsia="宋体" w:cs="宋体"/>
                <w:sz w:val="21"/>
                <w:szCs w:val="21"/>
              </w:rPr>
              <w:t>产品防护</w:t>
            </w:r>
          </w:p>
        </w:tc>
        <w:tc>
          <w:tcPr>
            <w:tcW w:w="1166" w:type="dxa"/>
          </w:tcPr>
          <w:p>
            <w:pPr>
              <w:pageBreakBefore w:val="0"/>
              <w:widowControl w:val="0"/>
              <w:kinsoku/>
              <w:wordWrap/>
              <w:overflowPunct/>
              <w:topLinePunct w:val="0"/>
              <w:bidi w:val="0"/>
              <w:spacing w:line="240" w:lineRule="auto"/>
              <w:rPr>
                <w:rFonts w:hint="eastAsia" w:ascii="宋体" w:hAnsi="宋体" w:eastAsia="宋体" w:cs="宋体"/>
                <w:sz w:val="21"/>
                <w:szCs w:val="21"/>
              </w:rPr>
            </w:pPr>
            <w:r>
              <w:rPr>
                <w:rFonts w:hint="eastAsia" w:ascii="宋体" w:hAnsi="宋体" w:eastAsia="宋体" w:cs="宋体"/>
                <w:sz w:val="21"/>
                <w:szCs w:val="21"/>
              </w:rPr>
              <w:t xml:space="preserve">Q8.5.4 </w:t>
            </w:r>
          </w:p>
        </w:tc>
        <w:tc>
          <w:tcPr>
            <w:tcW w:w="10790" w:type="dxa"/>
          </w:tcPr>
          <w:p>
            <w:pPr>
              <w:pageBreakBefore w:val="0"/>
              <w:widowControl w:val="0"/>
              <w:kinsoku/>
              <w:wordWrap/>
              <w:overflowPunct/>
              <w:topLinePunct w:val="0"/>
              <w:bidi w:val="0"/>
              <w:spacing w:line="240" w:lineRule="auto"/>
              <w:ind w:firstLine="315" w:firstLineChars="150"/>
              <w:rPr>
                <w:rFonts w:hint="eastAsia" w:ascii="宋体" w:hAnsi="宋体" w:eastAsia="宋体" w:cs="宋体"/>
                <w:sz w:val="21"/>
                <w:szCs w:val="21"/>
              </w:rPr>
            </w:pPr>
            <w:r>
              <w:rPr>
                <w:rFonts w:hint="eastAsia" w:ascii="宋体" w:hAnsi="宋体" w:eastAsia="宋体" w:cs="宋体"/>
                <w:sz w:val="21"/>
                <w:szCs w:val="21"/>
              </w:rPr>
              <w:t>编制了《TJYY/QP-2020-13</w:t>
            </w:r>
            <w:r>
              <w:rPr>
                <w:rFonts w:hint="eastAsia" w:ascii="宋体" w:hAnsi="宋体" w:eastAsia="宋体" w:cs="宋体"/>
                <w:sz w:val="21"/>
                <w:szCs w:val="21"/>
              </w:rPr>
              <w:tab/>
            </w:r>
            <w:r>
              <w:rPr>
                <w:rFonts w:hint="eastAsia" w:ascii="宋体" w:hAnsi="宋体" w:eastAsia="宋体" w:cs="宋体"/>
                <w:sz w:val="21"/>
                <w:szCs w:val="21"/>
              </w:rPr>
              <w:t>产品防护和交付控制程序》。</w:t>
            </w:r>
          </w:p>
          <w:p>
            <w:pPr>
              <w:pageBreakBefore w:val="0"/>
              <w:widowControl w:val="0"/>
              <w:kinsoku/>
              <w:wordWrap/>
              <w:overflowPunct/>
              <w:topLinePunct w:val="0"/>
              <w:bidi w:val="0"/>
              <w:spacing w:line="240" w:lineRule="auto"/>
              <w:ind w:firstLine="315" w:firstLineChars="150"/>
              <w:rPr>
                <w:rFonts w:hint="eastAsia" w:ascii="宋体" w:hAnsi="宋体" w:eastAsia="宋体" w:cs="宋体"/>
                <w:sz w:val="21"/>
                <w:szCs w:val="21"/>
              </w:rPr>
            </w:pPr>
            <w:r>
              <w:rPr>
                <w:rFonts w:hint="eastAsia" w:ascii="宋体" w:hAnsi="宋体" w:eastAsia="宋体" w:cs="宋体"/>
                <w:sz w:val="21"/>
                <w:szCs w:val="21"/>
              </w:rPr>
              <w:t>现场销售部经理介绍公司无仓库，业务员/检验员在供方仓库验收合格后直接发货，使用适宜的搬运工具，采用合理的搬运方法，做好产品防护，防止丢失和损坏。包装人员核对产品外观、数量、包装、合格证，保持产品外观清洁、完整，按装箱单核对装箱产品，用防震材料添紧，避免相互碰撞造成破损，包装后进行正确标识。与运输方签订运输协议，保证产品运输质量，并对运输质量进行跟踪监督。</w:t>
            </w:r>
          </w:p>
          <w:p>
            <w:pPr>
              <w:pageBreakBefore w:val="0"/>
              <w:widowControl w:val="0"/>
              <w:kinsoku/>
              <w:wordWrap/>
              <w:overflowPunct/>
              <w:topLinePunct w:val="0"/>
              <w:bidi w:val="0"/>
              <w:spacing w:line="240" w:lineRule="auto"/>
              <w:ind w:firstLine="315" w:firstLineChars="150"/>
              <w:rPr>
                <w:rFonts w:hint="eastAsia" w:ascii="宋体" w:hAnsi="宋体" w:eastAsia="宋体" w:cs="宋体"/>
                <w:sz w:val="21"/>
                <w:szCs w:val="21"/>
              </w:rPr>
            </w:pPr>
            <w:r>
              <w:rPr>
                <w:rFonts w:hint="eastAsia" w:ascii="宋体" w:hAnsi="宋体" w:eastAsia="宋体" w:cs="宋体"/>
                <w:sz w:val="21"/>
                <w:szCs w:val="21"/>
              </w:rPr>
              <w:t>部门介绍公司自体系运行以来，未发生由于产品防护不当导致产品质量事故的情况，防护措施能够满足要求。</w:t>
            </w:r>
          </w:p>
        </w:tc>
        <w:tc>
          <w:tcPr>
            <w:tcW w:w="895" w:type="dxa"/>
            <w:vAlign w:val="top"/>
          </w:tcPr>
          <w:p>
            <w:pPr>
              <w:keepLines w:val="0"/>
              <w:pageBreakBefore w:val="0"/>
              <w:widowControl w:val="0"/>
              <w:kinsoku/>
              <w:wordWrap/>
              <w:overflowPunct/>
              <w:topLinePunct w:val="0"/>
              <w:bidi w:val="0"/>
              <w:spacing w:line="24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1858" w:type="dxa"/>
            <w:vAlign w:val="center"/>
          </w:tcPr>
          <w:p>
            <w:pPr>
              <w:pageBreakBefore w:val="0"/>
              <w:widowControl w:val="0"/>
              <w:kinsoku/>
              <w:wordWrap/>
              <w:overflowPunct/>
              <w:topLinePunct w:val="0"/>
              <w:bidi w:val="0"/>
              <w:spacing w:line="24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交付后的活动</w:t>
            </w:r>
          </w:p>
        </w:tc>
        <w:tc>
          <w:tcPr>
            <w:tcW w:w="1166" w:type="dxa"/>
            <w:vAlign w:val="center"/>
          </w:tcPr>
          <w:p>
            <w:pPr>
              <w:pageBreakBefore w:val="0"/>
              <w:widowControl w:val="0"/>
              <w:kinsoku/>
              <w:wordWrap/>
              <w:overflowPunct/>
              <w:topLinePunct w:val="0"/>
              <w:bidi w:val="0"/>
              <w:spacing w:line="24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Q8.5.5</w:t>
            </w:r>
          </w:p>
        </w:tc>
        <w:tc>
          <w:tcPr>
            <w:tcW w:w="10790" w:type="dxa"/>
            <w:vAlign w:val="center"/>
          </w:tcPr>
          <w:p>
            <w:pPr>
              <w:pageBreakBefore w:val="0"/>
              <w:widowControl w:val="0"/>
              <w:kinsoku/>
              <w:wordWrap/>
              <w:overflowPunct/>
              <w:topLinePunct w:val="0"/>
              <w:bidi w:val="0"/>
              <w:spacing w:line="24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与部门负责人沟通了解到组织主要通过与客户签订合同的形式对交付后的活动进行规定。合同通常包括：法律法规要求，交付后不合格的处理，产品的用途，顾客的要求等。如客户在使用过程中出现问题，先通过电话进行解决，如远程无法解决，派专人到客户现场实地协商解决。</w:t>
            </w:r>
          </w:p>
          <w:p>
            <w:pPr>
              <w:pageBreakBefore w:val="0"/>
              <w:widowControl w:val="0"/>
              <w:kinsoku/>
              <w:wordWrap/>
              <w:overflowPunct/>
              <w:topLinePunct w:val="0"/>
              <w:bidi w:val="0"/>
              <w:spacing w:line="240" w:lineRule="auto"/>
              <w:ind w:firstLine="420" w:firstLineChars="200"/>
              <w:rPr>
                <w:rFonts w:hint="eastAsia" w:ascii="宋体" w:hAnsi="宋体" w:eastAsia="宋体" w:cs="宋体"/>
                <w:bCs/>
                <w:kern w:val="2"/>
                <w:sz w:val="21"/>
                <w:szCs w:val="21"/>
                <w:lang w:val="en-US" w:eastAsia="zh-CN" w:bidi="ar-SA"/>
              </w:rPr>
            </w:pPr>
            <w:r>
              <w:rPr>
                <w:rFonts w:hint="eastAsia" w:ascii="宋体" w:hAnsi="宋体" w:eastAsia="宋体" w:cs="宋体"/>
                <w:color w:val="000000"/>
                <w:sz w:val="21"/>
                <w:szCs w:val="21"/>
              </w:rPr>
              <w:t>基本满足要求。</w:t>
            </w:r>
          </w:p>
        </w:tc>
        <w:tc>
          <w:tcPr>
            <w:tcW w:w="895" w:type="dxa"/>
            <w:vAlign w:val="top"/>
          </w:tcPr>
          <w:p>
            <w:pPr>
              <w:keepLines w:val="0"/>
              <w:pageBreakBefore w:val="0"/>
              <w:widowControl w:val="0"/>
              <w:kinsoku/>
              <w:wordWrap/>
              <w:overflowPunct/>
              <w:topLinePunct w:val="0"/>
              <w:bidi w:val="0"/>
              <w:spacing w:line="240" w:lineRule="auto"/>
              <w:jc w:val="both"/>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1858" w:type="dxa"/>
            <w:vAlign w:val="center"/>
          </w:tcPr>
          <w:p>
            <w:pPr>
              <w:pageBreakBefore w:val="0"/>
              <w:widowControl w:val="0"/>
              <w:kinsoku/>
              <w:wordWrap/>
              <w:overflowPunct/>
              <w:topLinePunct w:val="0"/>
              <w:bidi w:val="0"/>
              <w:spacing w:line="240" w:lineRule="auto"/>
              <w:rPr>
                <w:rFonts w:hint="eastAsia" w:ascii="宋体" w:hAnsi="宋体" w:eastAsia="宋体" w:cs="宋体"/>
                <w:sz w:val="21"/>
                <w:szCs w:val="21"/>
              </w:rPr>
            </w:pPr>
            <w:r>
              <w:rPr>
                <w:rFonts w:hint="eastAsia" w:ascii="宋体" w:hAnsi="宋体" w:eastAsia="宋体" w:cs="宋体"/>
                <w:sz w:val="21"/>
                <w:szCs w:val="21"/>
              </w:rPr>
              <w:t>销售和服务提供的更改控制</w:t>
            </w:r>
          </w:p>
        </w:tc>
        <w:tc>
          <w:tcPr>
            <w:tcW w:w="1166" w:type="dxa"/>
          </w:tcPr>
          <w:p>
            <w:pPr>
              <w:pageBreakBefore w:val="0"/>
              <w:widowControl w:val="0"/>
              <w:kinsoku/>
              <w:wordWrap/>
              <w:overflowPunct/>
              <w:topLinePunct w:val="0"/>
              <w:bidi w:val="0"/>
              <w:spacing w:line="240" w:lineRule="auto"/>
              <w:rPr>
                <w:rFonts w:hint="eastAsia" w:ascii="宋体" w:hAnsi="宋体" w:eastAsia="宋体" w:cs="宋体"/>
                <w:sz w:val="21"/>
                <w:szCs w:val="21"/>
              </w:rPr>
            </w:pPr>
            <w:r>
              <w:rPr>
                <w:rFonts w:hint="eastAsia" w:ascii="宋体" w:hAnsi="宋体" w:eastAsia="宋体" w:cs="宋体"/>
                <w:sz w:val="21"/>
                <w:szCs w:val="21"/>
              </w:rPr>
              <w:t xml:space="preserve">Q 8.5.6 </w:t>
            </w:r>
          </w:p>
        </w:tc>
        <w:tc>
          <w:tcPr>
            <w:tcW w:w="10790" w:type="dxa"/>
          </w:tcPr>
          <w:p>
            <w:pPr>
              <w:pageBreakBefore w:val="0"/>
              <w:widowControl w:val="0"/>
              <w:kinsoku/>
              <w:wordWrap/>
              <w:overflowPunct/>
              <w:topLinePunct w:val="0"/>
              <w:bidi w:val="0"/>
              <w:spacing w:line="240" w:lineRule="auto"/>
              <w:ind w:right="-105" w:rightChars="-50" w:firstLine="420" w:firstLineChars="200"/>
              <w:rPr>
                <w:rFonts w:hint="eastAsia" w:ascii="宋体" w:hAnsi="宋体" w:eastAsia="宋体" w:cs="宋体"/>
                <w:sz w:val="21"/>
                <w:szCs w:val="21"/>
              </w:rPr>
            </w:pPr>
            <w:r>
              <w:rPr>
                <w:rFonts w:hint="eastAsia" w:ascii="宋体" w:hAnsi="宋体" w:eastAsia="宋体" w:cs="宋体"/>
                <w:sz w:val="21"/>
                <w:szCs w:val="21"/>
              </w:rPr>
              <w:t>负责人沟通明确更改控制流程，对销售和服务提供的更改进行评审和控制，以确保稳定地符合要求；更改及评审保留记录，包括更改评审结果、更改的人员以及根据评审所采取的措施。</w:t>
            </w:r>
          </w:p>
        </w:tc>
        <w:tc>
          <w:tcPr>
            <w:tcW w:w="895" w:type="dxa"/>
            <w:vAlign w:val="top"/>
          </w:tcPr>
          <w:p>
            <w:pPr>
              <w:keepLines w:val="0"/>
              <w:pageBreakBefore w:val="0"/>
              <w:widowControl w:val="0"/>
              <w:kinsoku/>
              <w:wordWrap/>
              <w:overflowPunct/>
              <w:topLinePunct w:val="0"/>
              <w:bidi w:val="0"/>
              <w:spacing w:line="24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0" w:hRule="atLeast"/>
          <w:jc w:val="center"/>
        </w:trPr>
        <w:tc>
          <w:tcPr>
            <w:tcW w:w="1858" w:type="dxa"/>
            <w:vAlign w:val="center"/>
          </w:tcPr>
          <w:p>
            <w:pPr>
              <w:pageBreakBefore w:val="0"/>
              <w:widowControl w:val="0"/>
              <w:kinsoku/>
              <w:wordWrap/>
              <w:overflowPunct/>
              <w:topLinePunct w:val="0"/>
              <w:bidi w:val="0"/>
              <w:spacing w:line="240" w:lineRule="auto"/>
              <w:rPr>
                <w:rFonts w:hint="eastAsia" w:ascii="宋体" w:hAnsi="宋体" w:eastAsia="宋体" w:cs="宋体"/>
                <w:sz w:val="21"/>
                <w:szCs w:val="21"/>
                <w:highlight w:val="none"/>
              </w:rPr>
            </w:pPr>
            <w:r>
              <w:rPr>
                <w:rFonts w:hint="eastAsia" w:ascii="宋体" w:hAnsi="宋体" w:eastAsia="宋体" w:cs="宋体"/>
                <w:bCs/>
                <w:sz w:val="21"/>
                <w:szCs w:val="21"/>
                <w:highlight w:val="none"/>
              </w:rPr>
              <w:t>产品和服务的放行</w:t>
            </w:r>
          </w:p>
        </w:tc>
        <w:tc>
          <w:tcPr>
            <w:tcW w:w="1166" w:type="dxa"/>
          </w:tcPr>
          <w:p>
            <w:pPr>
              <w:pageBreakBefore w:val="0"/>
              <w:widowControl w:val="0"/>
              <w:kinsoku/>
              <w:wordWrap/>
              <w:overflowPunct/>
              <w:topLinePunct w:val="0"/>
              <w:bidi w:val="0"/>
              <w:spacing w:line="240" w:lineRule="auto"/>
              <w:ind w:firstLine="420" w:firstLineChars="200"/>
              <w:rPr>
                <w:rFonts w:hint="eastAsia" w:ascii="宋体" w:hAnsi="宋体" w:eastAsia="宋体" w:cs="宋体"/>
                <w:sz w:val="21"/>
                <w:szCs w:val="21"/>
                <w:highlight w:val="none"/>
              </w:rPr>
            </w:pPr>
          </w:p>
          <w:p>
            <w:pPr>
              <w:pageBreakBefore w:val="0"/>
              <w:widowControl w:val="0"/>
              <w:kinsoku/>
              <w:wordWrap/>
              <w:overflowPunct/>
              <w:topLinePunct w:val="0"/>
              <w:bidi w:val="0"/>
              <w:spacing w:line="240" w:lineRule="auto"/>
              <w:ind w:firstLine="420" w:firstLineChars="200"/>
              <w:rPr>
                <w:rFonts w:hint="eastAsia" w:ascii="宋体" w:hAnsi="宋体" w:eastAsia="宋体" w:cs="宋体"/>
                <w:sz w:val="21"/>
                <w:szCs w:val="21"/>
                <w:highlight w:val="none"/>
              </w:rPr>
            </w:pPr>
          </w:p>
          <w:p>
            <w:pPr>
              <w:pageBreakBefore w:val="0"/>
              <w:widowControl w:val="0"/>
              <w:kinsoku/>
              <w:wordWrap/>
              <w:overflowPunct/>
              <w:topLinePunct w:val="0"/>
              <w:bidi w:val="0"/>
              <w:spacing w:line="240" w:lineRule="auto"/>
              <w:rPr>
                <w:rFonts w:hint="eastAsia" w:ascii="宋体" w:hAnsi="宋体" w:eastAsia="宋体" w:cs="宋体"/>
                <w:sz w:val="21"/>
                <w:szCs w:val="21"/>
                <w:highlight w:val="none"/>
              </w:rPr>
            </w:pPr>
            <w:r>
              <w:rPr>
                <w:rFonts w:hint="eastAsia" w:ascii="宋体" w:hAnsi="宋体" w:eastAsia="宋体" w:cs="宋体"/>
                <w:bCs/>
                <w:sz w:val="21"/>
                <w:szCs w:val="21"/>
                <w:highlight w:val="none"/>
              </w:rPr>
              <w:t>Q8.6</w:t>
            </w:r>
            <w:r>
              <w:rPr>
                <w:rFonts w:hint="eastAsia" w:ascii="宋体" w:hAnsi="宋体" w:eastAsia="宋体" w:cs="宋体"/>
                <w:sz w:val="21"/>
                <w:szCs w:val="21"/>
                <w:highlight w:val="none"/>
              </w:rPr>
              <w:t xml:space="preserve"> </w:t>
            </w:r>
          </w:p>
          <w:p>
            <w:pPr>
              <w:pageBreakBefore w:val="0"/>
              <w:widowControl w:val="0"/>
              <w:kinsoku/>
              <w:wordWrap/>
              <w:overflowPunct/>
              <w:topLinePunct w:val="0"/>
              <w:bidi w:val="0"/>
              <w:spacing w:line="240" w:lineRule="auto"/>
              <w:ind w:firstLine="420" w:firstLineChars="200"/>
              <w:rPr>
                <w:rFonts w:hint="eastAsia" w:ascii="宋体" w:hAnsi="宋体" w:eastAsia="宋体" w:cs="宋体"/>
                <w:sz w:val="21"/>
                <w:szCs w:val="21"/>
                <w:highlight w:val="none"/>
              </w:rPr>
            </w:pPr>
          </w:p>
          <w:p>
            <w:pPr>
              <w:pageBreakBefore w:val="0"/>
              <w:widowControl w:val="0"/>
              <w:kinsoku/>
              <w:wordWrap/>
              <w:overflowPunct/>
              <w:topLinePunct w:val="0"/>
              <w:bidi w:val="0"/>
              <w:spacing w:line="240" w:lineRule="auto"/>
              <w:ind w:firstLine="420" w:firstLineChars="200"/>
              <w:rPr>
                <w:rFonts w:hint="eastAsia" w:ascii="宋体" w:hAnsi="宋体" w:eastAsia="宋体" w:cs="宋体"/>
                <w:sz w:val="21"/>
                <w:szCs w:val="21"/>
                <w:highlight w:val="none"/>
              </w:rPr>
            </w:pPr>
          </w:p>
          <w:p>
            <w:pPr>
              <w:pageBreakBefore w:val="0"/>
              <w:widowControl w:val="0"/>
              <w:kinsoku/>
              <w:wordWrap/>
              <w:overflowPunct/>
              <w:topLinePunct w:val="0"/>
              <w:bidi w:val="0"/>
              <w:spacing w:line="240" w:lineRule="auto"/>
              <w:ind w:firstLine="420" w:firstLineChars="200"/>
              <w:rPr>
                <w:rFonts w:hint="eastAsia" w:ascii="宋体" w:hAnsi="宋体" w:eastAsia="宋体" w:cs="宋体"/>
                <w:sz w:val="21"/>
                <w:szCs w:val="21"/>
                <w:highlight w:val="none"/>
              </w:rPr>
            </w:pPr>
          </w:p>
          <w:p>
            <w:pPr>
              <w:pageBreakBefore w:val="0"/>
              <w:widowControl w:val="0"/>
              <w:kinsoku/>
              <w:wordWrap/>
              <w:overflowPunct/>
              <w:topLinePunct w:val="0"/>
              <w:bidi w:val="0"/>
              <w:spacing w:line="240" w:lineRule="auto"/>
              <w:ind w:firstLine="420" w:firstLineChars="200"/>
              <w:rPr>
                <w:rFonts w:hint="eastAsia" w:ascii="宋体" w:hAnsi="宋体" w:eastAsia="宋体" w:cs="宋体"/>
                <w:sz w:val="21"/>
                <w:szCs w:val="21"/>
                <w:highlight w:val="none"/>
              </w:rPr>
            </w:pPr>
          </w:p>
          <w:p>
            <w:pPr>
              <w:pageBreakBefore w:val="0"/>
              <w:widowControl w:val="0"/>
              <w:kinsoku/>
              <w:wordWrap/>
              <w:overflowPunct/>
              <w:topLinePunct w:val="0"/>
              <w:bidi w:val="0"/>
              <w:spacing w:line="240" w:lineRule="auto"/>
              <w:ind w:firstLine="420" w:firstLineChars="200"/>
              <w:rPr>
                <w:rFonts w:hint="eastAsia" w:ascii="宋体" w:hAnsi="宋体" w:eastAsia="宋体" w:cs="宋体"/>
                <w:sz w:val="21"/>
                <w:szCs w:val="21"/>
                <w:highlight w:val="none"/>
              </w:rPr>
            </w:pPr>
          </w:p>
          <w:p>
            <w:pPr>
              <w:pageBreakBefore w:val="0"/>
              <w:widowControl w:val="0"/>
              <w:kinsoku/>
              <w:wordWrap/>
              <w:overflowPunct/>
              <w:topLinePunct w:val="0"/>
              <w:bidi w:val="0"/>
              <w:spacing w:line="240" w:lineRule="auto"/>
              <w:ind w:firstLine="420" w:firstLineChars="200"/>
              <w:rPr>
                <w:rFonts w:hint="eastAsia" w:ascii="宋体" w:hAnsi="宋体" w:eastAsia="宋体" w:cs="宋体"/>
                <w:sz w:val="21"/>
                <w:szCs w:val="21"/>
                <w:highlight w:val="none"/>
              </w:rPr>
            </w:pPr>
          </w:p>
          <w:p>
            <w:pPr>
              <w:pageBreakBefore w:val="0"/>
              <w:widowControl w:val="0"/>
              <w:kinsoku/>
              <w:wordWrap/>
              <w:overflowPunct/>
              <w:topLinePunct w:val="0"/>
              <w:bidi w:val="0"/>
              <w:spacing w:line="240" w:lineRule="auto"/>
              <w:ind w:firstLine="420" w:firstLineChars="200"/>
              <w:rPr>
                <w:rFonts w:hint="eastAsia" w:ascii="宋体" w:hAnsi="宋体" w:eastAsia="宋体" w:cs="宋体"/>
                <w:sz w:val="21"/>
                <w:szCs w:val="21"/>
                <w:highlight w:val="none"/>
              </w:rPr>
            </w:pPr>
          </w:p>
          <w:p>
            <w:pPr>
              <w:pageBreakBefore w:val="0"/>
              <w:widowControl w:val="0"/>
              <w:kinsoku/>
              <w:wordWrap/>
              <w:overflowPunct/>
              <w:topLinePunct w:val="0"/>
              <w:bidi w:val="0"/>
              <w:spacing w:line="240" w:lineRule="auto"/>
              <w:ind w:firstLine="420" w:firstLineChars="200"/>
              <w:rPr>
                <w:rFonts w:hint="eastAsia" w:ascii="宋体" w:hAnsi="宋体" w:eastAsia="宋体" w:cs="宋体"/>
                <w:sz w:val="21"/>
                <w:szCs w:val="21"/>
                <w:highlight w:val="none"/>
              </w:rPr>
            </w:pPr>
          </w:p>
          <w:p>
            <w:pPr>
              <w:pageBreakBefore w:val="0"/>
              <w:widowControl w:val="0"/>
              <w:kinsoku/>
              <w:wordWrap/>
              <w:overflowPunct/>
              <w:topLinePunct w:val="0"/>
              <w:bidi w:val="0"/>
              <w:spacing w:line="240" w:lineRule="auto"/>
              <w:ind w:firstLine="420" w:firstLineChars="200"/>
              <w:rPr>
                <w:rFonts w:hint="eastAsia" w:ascii="宋体" w:hAnsi="宋体" w:eastAsia="宋体" w:cs="宋体"/>
                <w:sz w:val="21"/>
                <w:szCs w:val="21"/>
                <w:highlight w:val="none"/>
              </w:rPr>
            </w:pPr>
          </w:p>
          <w:p>
            <w:pPr>
              <w:pageBreakBefore w:val="0"/>
              <w:widowControl w:val="0"/>
              <w:kinsoku/>
              <w:wordWrap/>
              <w:overflowPunct/>
              <w:topLinePunct w:val="0"/>
              <w:bidi w:val="0"/>
              <w:spacing w:line="240" w:lineRule="auto"/>
              <w:ind w:firstLine="420" w:firstLineChars="200"/>
              <w:rPr>
                <w:rFonts w:hint="eastAsia" w:ascii="宋体" w:hAnsi="宋体" w:eastAsia="宋体" w:cs="宋体"/>
                <w:sz w:val="21"/>
                <w:szCs w:val="21"/>
                <w:highlight w:val="none"/>
              </w:rPr>
            </w:pPr>
          </w:p>
          <w:p>
            <w:pPr>
              <w:pageBreakBefore w:val="0"/>
              <w:widowControl w:val="0"/>
              <w:kinsoku/>
              <w:wordWrap/>
              <w:overflowPunct/>
              <w:topLinePunct w:val="0"/>
              <w:bidi w:val="0"/>
              <w:spacing w:line="240" w:lineRule="auto"/>
              <w:ind w:firstLine="420" w:firstLineChars="200"/>
              <w:rPr>
                <w:rFonts w:hint="eastAsia" w:ascii="宋体" w:hAnsi="宋体" w:eastAsia="宋体" w:cs="宋体"/>
                <w:sz w:val="21"/>
                <w:szCs w:val="21"/>
                <w:highlight w:val="none"/>
              </w:rPr>
            </w:pPr>
          </w:p>
          <w:p>
            <w:pPr>
              <w:pageBreakBefore w:val="0"/>
              <w:widowControl w:val="0"/>
              <w:kinsoku/>
              <w:wordWrap/>
              <w:overflowPunct/>
              <w:topLinePunct w:val="0"/>
              <w:bidi w:val="0"/>
              <w:spacing w:line="240" w:lineRule="auto"/>
              <w:ind w:firstLine="420" w:firstLineChars="200"/>
              <w:rPr>
                <w:rFonts w:hint="eastAsia" w:ascii="宋体" w:hAnsi="宋体" w:eastAsia="宋体" w:cs="宋体"/>
                <w:sz w:val="21"/>
                <w:szCs w:val="21"/>
                <w:highlight w:val="none"/>
              </w:rPr>
            </w:pPr>
          </w:p>
          <w:p>
            <w:pPr>
              <w:pageBreakBefore w:val="0"/>
              <w:widowControl w:val="0"/>
              <w:kinsoku/>
              <w:wordWrap/>
              <w:overflowPunct/>
              <w:topLinePunct w:val="0"/>
              <w:bidi w:val="0"/>
              <w:spacing w:line="240" w:lineRule="auto"/>
              <w:ind w:firstLine="420" w:firstLineChars="200"/>
              <w:rPr>
                <w:rFonts w:hint="eastAsia" w:ascii="宋体" w:hAnsi="宋体" w:eastAsia="宋体" w:cs="宋体"/>
                <w:sz w:val="21"/>
                <w:szCs w:val="21"/>
                <w:highlight w:val="none"/>
              </w:rPr>
            </w:pPr>
          </w:p>
          <w:p>
            <w:pPr>
              <w:pageBreakBefore w:val="0"/>
              <w:widowControl w:val="0"/>
              <w:kinsoku/>
              <w:wordWrap/>
              <w:overflowPunct/>
              <w:topLinePunct w:val="0"/>
              <w:bidi w:val="0"/>
              <w:spacing w:line="240" w:lineRule="auto"/>
              <w:ind w:firstLine="420" w:firstLineChars="200"/>
              <w:rPr>
                <w:rFonts w:hint="eastAsia" w:ascii="宋体" w:hAnsi="宋体" w:eastAsia="宋体" w:cs="宋体"/>
                <w:sz w:val="21"/>
                <w:szCs w:val="21"/>
                <w:highlight w:val="none"/>
              </w:rPr>
            </w:pPr>
          </w:p>
          <w:p>
            <w:pPr>
              <w:pageBreakBefore w:val="0"/>
              <w:widowControl w:val="0"/>
              <w:kinsoku/>
              <w:wordWrap/>
              <w:overflowPunct/>
              <w:topLinePunct w:val="0"/>
              <w:bidi w:val="0"/>
              <w:spacing w:line="240" w:lineRule="auto"/>
              <w:ind w:firstLine="420" w:firstLineChars="200"/>
              <w:rPr>
                <w:rFonts w:hint="eastAsia" w:ascii="宋体" w:hAnsi="宋体" w:eastAsia="宋体" w:cs="宋体"/>
                <w:sz w:val="21"/>
                <w:szCs w:val="21"/>
                <w:highlight w:val="none"/>
              </w:rPr>
            </w:pPr>
          </w:p>
          <w:p>
            <w:pPr>
              <w:pageBreakBefore w:val="0"/>
              <w:widowControl w:val="0"/>
              <w:kinsoku/>
              <w:wordWrap/>
              <w:overflowPunct/>
              <w:topLinePunct w:val="0"/>
              <w:bidi w:val="0"/>
              <w:spacing w:line="240" w:lineRule="auto"/>
              <w:ind w:firstLine="420" w:firstLineChars="200"/>
              <w:rPr>
                <w:rFonts w:hint="eastAsia" w:ascii="宋体" w:hAnsi="宋体" w:eastAsia="宋体" w:cs="宋体"/>
                <w:sz w:val="21"/>
                <w:szCs w:val="21"/>
                <w:highlight w:val="none"/>
              </w:rPr>
            </w:pPr>
          </w:p>
          <w:p>
            <w:pPr>
              <w:pageBreakBefore w:val="0"/>
              <w:widowControl w:val="0"/>
              <w:kinsoku/>
              <w:wordWrap/>
              <w:overflowPunct/>
              <w:topLinePunct w:val="0"/>
              <w:bidi w:val="0"/>
              <w:spacing w:line="240" w:lineRule="auto"/>
              <w:ind w:firstLine="420" w:firstLineChars="200"/>
              <w:rPr>
                <w:rFonts w:hint="eastAsia" w:ascii="宋体" w:hAnsi="宋体" w:eastAsia="宋体" w:cs="宋体"/>
                <w:sz w:val="21"/>
                <w:szCs w:val="21"/>
                <w:highlight w:val="none"/>
              </w:rPr>
            </w:pPr>
          </w:p>
          <w:p>
            <w:pPr>
              <w:pageBreakBefore w:val="0"/>
              <w:widowControl w:val="0"/>
              <w:kinsoku/>
              <w:wordWrap/>
              <w:overflowPunct/>
              <w:topLinePunct w:val="0"/>
              <w:bidi w:val="0"/>
              <w:spacing w:line="240" w:lineRule="auto"/>
              <w:ind w:firstLine="420" w:firstLineChars="200"/>
              <w:rPr>
                <w:rFonts w:hint="eastAsia" w:ascii="宋体" w:hAnsi="宋体" w:eastAsia="宋体" w:cs="宋体"/>
                <w:sz w:val="21"/>
                <w:szCs w:val="21"/>
                <w:highlight w:val="none"/>
              </w:rPr>
            </w:pPr>
          </w:p>
          <w:p>
            <w:pPr>
              <w:pageBreakBefore w:val="0"/>
              <w:widowControl w:val="0"/>
              <w:kinsoku/>
              <w:wordWrap/>
              <w:overflowPunct/>
              <w:topLinePunct w:val="0"/>
              <w:bidi w:val="0"/>
              <w:spacing w:line="240" w:lineRule="auto"/>
              <w:ind w:firstLine="420" w:firstLineChars="200"/>
              <w:rPr>
                <w:rFonts w:hint="eastAsia" w:ascii="宋体" w:hAnsi="宋体" w:eastAsia="宋体" w:cs="宋体"/>
                <w:sz w:val="21"/>
                <w:szCs w:val="21"/>
                <w:highlight w:val="none"/>
              </w:rPr>
            </w:pPr>
          </w:p>
          <w:p>
            <w:pPr>
              <w:pageBreakBefore w:val="0"/>
              <w:widowControl w:val="0"/>
              <w:kinsoku/>
              <w:wordWrap/>
              <w:overflowPunct/>
              <w:topLinePunct w:val="0"/>
              <w:bidi w:val="0"/>
              <w:spacing w:line="240" w:lineRule="auto"/>
              <w:ind w:firstLine="420" w:firstLineChars="200"/>
              <w:rPr>
                <w:rFonts w:hint="eastAsia" w:ascii="宋体" w:hAnsi="宋体" w:eastAsia="宋体" w:cs="宋体"/>
                <w:sz w:val="21"/>
                <w:szCs w:val="21"/>
                <w:highlight w:val="none"/>
              </w:rPr>
            </w:pPr>
          </w:p>
          <w:p>
            <w:pPr>
              <w:pageBreakBefore w:val="0"/>
              <w:widowControl w:val="0"/>
              <w:kinsoku/>
              <w:wordWrap/>
              <w:overflowPunct/>
              <w:topLinePunct w:val="0"/>
              <w:bidi w:val="0"/>
              <w:spacing w:line="240" w:lineRule="auto"/>
              <w:ind w:firstLine="420" w:firstLineChars="200"/>
              <w:rPr>
                <w:rFonts w:hint="eastAsia" w:ascii="宋体" w:hAnsi="宋体" w:eastAsia="宋体" w:cs="宋体"/>
                <w:sz w:val="21"/>
                <w:szCs w:val="21"/>
                <w:highlight w:val="none"/>
              </w:rPr>
            </w:pPr>
          </w:p>
          <w:p>
            <w:pPr>
              <w:pageBreakBefore w:val="0"/>
              <w:widowControl w:val="0"/>
              <w:kinsoku/>
              <w:wordWrap/>
              <w:overflowPunct/>
              <w:topLinePunct w:val="0"/>
              <w:bidi w:val="0"/>
              <w:spacing w:line="240" w:lineRule="auto"/>
              <w:ind w:firstLine="420" w:firstLineChars="200"/>
              <w:rPr>
                <w:rFonts w:hint="eastAsia" w:ascii="宋体" w:hAnsi="宋体" w:eastAsia="宋体" w:cs="宋体"/>
                <w:sz w:val="21"/>
                <w:szCs w:val="21"/>
                <w:highlight w:val="none"/>
              </w:rPr>
            </w:pPr>
          </w:p>
          <w:p>
            <w:pPr>
              <w:pageBreakBefore w:val="0"/>
              <w:widowControl w:val="0"/>
              <w:kinsoku/>
              <w:wordWrap/>
              <w:overflowPunct/>
              <w:topLinePunct w:val="0"/>
              <w:bidi w:val="0"/>
              <w:spacing w:line="240" w:lineRule="auto"/>
              <w:ind w:firstLine="420" w:firstLineChars="200"/>
              <w:rPr>
                <w:rFonts w:hint="eastAsia" w:ascii="宋体" w:hAnsi="宋体" w:eastAsia="宋体" w:cs="宋体"/>
                <w:sz w:val="21"/>
                <w:szCs w:val="21"/>
                <w:highlight w:val="none"/>
              </w:rPr>
            </w:pPr>
          </w:p>
        </w:tc>
        <w:tc>
          <w:tcPr>
            <w:tcW w:w="10790" w:type="dxa"/>
          </w:tcPr>
          <w:p>
            <w:pPr>
              <w:pageBreakBefore w:val="0"/>
              <w:widowControl w:val="0"/>
              <w:kinsoku/>
              <w:wordWrap/>
              <w:overflowPunct/>
              <w:topLinePunct w:val="0"/>
              <w:bidi w:val="0"/>
              <w:spacing w:line="240" w:lineRule="auto"/>
              <w:ind w:right="-6" w:rightChars="-3" w:firstLine="315" w:firstLineChars="150"/>
              <w:rPr>
                <w:rFonts w:hint="eastAsia" w:ascii="宋体" w:hAnsi="宋体" w:eastAsia="宋体" w:cs="宋体"/>
                <w:sz w:val="21"/>
                <w:szCs w:val="21"/>
                <w:highlight w:val="none"/>
              </w:rPr>
            </w:pPr>
            <w:r>
              <w:rPr>
                <w:rFonts w:hint="eastAsia" w:ascii="宋体" w:hAnsi="宋体" w:eastAsia="宋体" w:cs="宋体"/>
                <w:sz w:val="21"/>
                <w:szCs w:val="21"/>
                <w:highlight w:val="none"/>
              </w:rPr>
              <w:t>编制了《TJYY/QP-2020-15</w:t>
            </w:r>
            <w:r>
              <w:rPr>
                <w:rFonts w:hint="eastAsia" w:ascii="宋体" w:hAnsi="宋体" w:eastAsia="宋体" w:cs="宋体"/>
                <w:sz w:val="21"/>
                <w:szCs w:val="21"/>
                <w:highlight w:val="none"/>
              </w:rPr>
              <w:tab/>
            </w:r>
            <w:r>
              <w:rPr>
                <w:rFonts w:hint="eastAsia" w:ascii="宋体" w:hAnsi="宋体" w:eastAsia="宋体" w:cs="宋体"/>
                <w:sz w:val="21"/>
                <w:szCs w:val="21"/>
                <w:highlight w:val="none"/>
              </w:rPr>
              <w:t>产品的监视和测量控制程序》。</w:t>
            </w:r>
          </w:p>
          <w:p>
            <w:pPr>
              <w:pageBreakBefore w:val="0"/>
              <w:widowControl w:val="0"/>
              <w:kinsoku/>
              <w:wordWrap/>
              <w:overflowPunct/>
              <w:topLinePunct w:val="0"/>
              <w:bidi w:val="0"/>
              <w:spacing w:line="240" w:lineRule="auto"/>
              <w:ind w:right="-6" w:rightChars="-3"/>
              <w:rPr>
                <w:rFonts w:hint="eastAsia" w:ascii="宋体" w:hAnsi="宋体" w:eastAsia="宋体" w:cs="宋体"/>
                <w:sz w:val="21"/>
                <w:szCs w:val="21"/>
                <w:highlight w:val="none"/>
              </w:rPr>
            </w:pPr>
            <w:r>
              <w:rPr>
                <w:rFonts w:hint="eastAsia" w:ascii="宋体" w:hAnsi="宋体" w:eastAsia="宋体" w:cs="宋体"/>
                <w:sz w:val="21"/>
                <w:szCs w:val="21"/>
                <w:highlight w:val="none"/>
              </w:rPr>
              <w:t>（1）组织确定了产品所要求的检验方法，按行业相关标准、客户要求实施产品验证，并制定了相应的检验规范。</w:t>
            </w:r>
          </w:p>
          <w:p>
            <w:pPr>
              <w:pageBreakBefore w:val="0"/>
              <w:widowControl w:val="0"/>
              <w:kinsoku/>
              <w:wordWrap/>
              <w:overflowPunct/>
              <w:topLinePunct w:val="0"/>
              <w:bidi w:val="0"/>
              <w:spacing w:line="240" w:lineRule="auto"/>
              <w:ind w:right="-6" w:rightChars="-3"/>
              <w:rPr>
                <w:rFonts w:hint="eastAsia" w:ascii="宋体" w:hAnsi="宋体" w:eastAsia="宋体" w:cs="宋体"/>
                <w:sz w:val="21"/>
                <w:szCs w:val="21"/>
                <w:highlight w:val="none"/>
              </w:rPr>
            </w:pPr>
            <w:r>
              <w:rPr>
                <w:rFonts w:hint="eastAsia" w:ascii="宋体" w:hAnsi="宋体" w:eastAsia="宋体" w:cs="宋体"/>
                <w:sz w:val="21"/>
                <w:szCs w:val="21"/>
                <w:highlight w:val="none"/>
              </w:rPr>
              <w:t>（2）产品检验：检验依据《采购物资检验规范》。</w:t>
            </w:r>
          </w:p>
          <w:p>
            <w:pPr>
              <w:pageBreakBefore w:val="0"/>
              <w:widowControl w:val="0"/>
              <w:kinsoku/>
              <w:wordWrap/>
              <w:overflowPunct/>
              <w:topLinePunct w:val="0"/>
              <w:bidi w:val="0"/>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抽查《产品检验记录表》：</w:t>
            </w:r>
          </w:p>
          <w:p>
            <w:pPr>
              <w:pageBreakBefore w:val="0"/>
              <w:widowControl w:val="0"/>
              <w:kinsoku/>
              <w:wordWrap/>
              <w:overflowPunct/>
              <w:topLinePunct w:val="0"/>
              <w:bidi w:val="0"/>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drawing>
                <wp:inline distT="0" distB="0" distL="114300" distR="114300">
                  <wp:extent cx="3350895" cy="1972310"/>
                  <wp:effectExtent l="0" t="0" r="1905" b="889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3350895" cy="1972310"/>
                          </a:xfrm>
                          <a:prstGeom prst="rect">
                            <a:avLst/>
                          </a:prstGeom>
                          <a:noFill/>
                          <a:ln>
                            <a:noFill/>
                          </a:ln>
                        </pic:spPr>
                      </pic:pic>
                    </a:graphicData>
                  </a:graphic>
                </wp:inline>
              </w:drawing>
            </w:r>
          </w:p>
          <w:p>
            <w:pPr>
              <w:pageBreakBefore w:val="0"/>
              <w:widowControl w:val="0"/>
              <w:kinsoku/>
              <w:wordWrap/>
              <w:overflowPunct/>
              <w:topLinePunct w:val="0"/>
              <w:bidi w:val="0"/>
              <w:spacing w:line="240" w:lineRule="auto"/>
              <w:rPr>
                <w:rFonts w:hint="eastAsia" w:ascii="宋体" w:hAnsi="宋体" w:eastAsia="宋体" w:cs="宋体"/>
                <w:sz w:val="21"/>
                <w:szCs w:val="21"/>
                <w:highlight w:val="none"/>
              </w:rPr>
            </w:pPr>
          </w:p>
          <w:p>
            <w:pPr>
              <w:pageBreakBefore w:val="0"/>
              <w:widowControl w:val="0"/>
              <w:kinsoku/>
              <w:wordWrap/>
              <w:overflowPunct/>
              <w:topLinePunct w:val="0"/>
              <w:bidi w:val="0"/>
              <w:spacing w:line="240" w:lineRule="auto"/>
              <w:rPr>
                <w:rFonts w:hint="eastAsia" w:ascii="宋体" w:hAnsi="宋体" w:eastAsia="宋体" w:cs="宋体"/>
                <w:sz w:val="21"/>
                <w:szCs w:val="21"/>
                <w:highlight w:val="none"/>
              </w:rPr>
            </w:pPr>
          </w:p>
          <w:p>
            <w:pPr>
              <w:pageBreakBefore w:val="0"/>
              <w:widowControl w:val="0"/>
              <w:kinsoku/>
              <w:wordWrap/>
              <w:overflowPunct/>
              <w:topLinePunct w:val="0"/>
              <w:bidi w:val="0"/>
              <w:spacing w:line="240" w:lineRule="auto"/>
              <w:ind w:right="-6" w:rightChars="-3"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（3）该公司制订了《销售管理制度》对商品销售及销售服务过程进行了质量控制的规定。</w:t>
            </w:r>
          </w:p>
          <w:p>
            <w:pPr>
              <w:pageBreakBefore w:val="0"/>
              <w:widowControl w:val="0"/>
              <w:kinsoku/>
              <w:wordWrap/>
              <w:overflowPunct/>
              <w:topLinePunct w:val="0"/>
              <w:bidi w:val="0"/>
              <w:spacing w:line="240" w:lineRule="auto"/>
              <w:ind w:right="-6" w:rightChars="-3"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提供了“营销人员工作监督表”，对销售人员的工作进行了监督检查。</w:t>
            </w:r>
          </w:p>
          <w:p>
            <w:pPr>
              <w:pageBreakBefore w:val="0"/>
              <w:widowControl w:val="0"/>
              <w:kinsoku/>
              <w:wordWrap/>
              <w:overflowPunct/>
              <w:topLinePunct w:val="0"/>
              <w:bidi w:val="0"/>
              <w:spacing w:line="240" w:lineRule="auto"/>
              <w:ind w:right="-6" w:rightChars="-3"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抽查202</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年</w:t>
            </w:r>
            <w:r>
              <w:rPr>
                <w:rFonts w:hint="eastAsia" w:ascii="宋体" w:hAnsi="宋体" w:eastAsia="宋体" w:cs="宋体"/>
                <w:sz w:val="21"/>
                <w:szCs w:val="21"/>
                <w:highlight w:val="none"/>
                <w:lang w:val="en-US" w:eastAsia="zh-CN"/>
              </w:rPr>
              <w:t>6</w:t>
            </w:r>
            <w:r>
              <w:rPr>
                <w:rFonts w:hint="eastAsia" w:ascii="宋体" w:hAnsi="宋体" w:eastAsia="宋体" w:cs="宋体"/>
                <w:sz w:val="21"/>
                <w:szCs w:val="21"/>
                <w:highlight w:val="none"/>
              </w:rPr>
              <w:t>月</w:t>
            </w:r>
            <w:r>
              <w:rPr>
                <w:rFonts w:hint="eastAsia" w:ascii="宋体" w:hAnsi="宋体" w:eastAsia="宋体" w:cs="宋体"/>
                <w:sz w:val="21"/>
                <w:szCs w:val="21"/>
                <w:highlight w:val="none"/>
                <w:lang w:val="en-US" w:eastAsia="zh-CN"/>
              </w:rPr>
              <w:t>8</w:t>
            </w:r>
            <w:r>
              <w:rPr>
                <w:rFonts w:hint="eastAsia" w:ascii="宋体" w:hAnsi="宋体" w:eastAsia="宋体" w:cs="宋体"/>
                <w:sz w:val="21"/>
                <w:szCs w:val="21"/>
                <w:highlight w:val="none"/>
              </w:rPr>
              <w:t>日的“营销人员工作监督表”，业务人员：董军，综合评价：96分，检查人：周建立。</w:t>
            </w:r>
          </w:p>
          <w:p>
            <w:pPr>
              <w:pageBreakBefore w:val="0"/>
              <w:widowControl w:val="0"/>
              <w:kinsoku/>
              <w:wordWrap/>
              <w:overflowPunct/>
              <w:topLinePunct w:val="0"/>
              <w:bidi w:val="0"/>
              <w:spacing w:line="240" w:lineRule="auto"/>
              <w:ind w:right="-6" w:rightChars="-3"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抽查202</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年</w:t>
            </w:r>
            <w:r>
              <w:rPr>
                <w:rFonts w:hint="eastAsia" w:ascii="宋体" w:hAnsi="宋体" w:eastAsia="宋体" w:cs="宋体"/>
                <w:sz w:val="21"/>
                <w:szCs w:val="21"/>
                <w:highlight w:val="none"/>
                <w:lang w:val="en-US" w:eastAsia="zh-CN"/>
              </w:rPr>
              <w:t>6</w:t>
            </w:r>
            <w:r>
              <w:rPr>
                <w:rFonts w:hint="eastAsia" w:ascii="宋体" w:hAnsi="宋体" w:eastAsia="宋体" w:cs="宋体"/>
                <w:sz w:val="21"/>
                <w:szCs w:val="21"/>
                <w:highlight w:val="none"/>
              </w:rPr>
              <w:t>月8日的“营销人员工作监督表”，业务人员：周鲁振，综合评价：94分，检查人：周建立。</w:t>
            </w:r>
          </w:p>
          <w:p>
            <w:pPr>
              <w:pageBreakBefore w:val="0"/>
              <w:widowControl w:val="0"/>
              <w:kinsoku/>
              <w:wordWrap/>
              <w:overflowPunct/>
              <w:topLinePunct w:val="0"/>
              <w:bidi w:val="0"/>
              <w:spacing w:line="240" w:lineRule="auto"/>
              <w:ind w:right="-6" w:rightChars="-3"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提供“销售服务检查记录”，对员工、办公场所、客户沟通、供货方沟通、文件记录、收发货、信后及技术服务、其他制度规定等进行了监督检查。</w:t>
            </w:r>
          </w:p>
          <w:p>
            <w:pPr>
              <w:pageBreakBefore w:val="0"/>
              <w:widowControl w:val="0"/>
              <w:kinsoku/>
              <w:wordWrap/>
              <w:overflowPunct/>
              <w:topLinePunct w:val="0"/>
              <w:bidi w:val="0"/>
              <w:spacing w:line="240" w:lineRule="auto"/>
              <w:ind w:right="-6" w:rightChars="-3"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抽查</w:t>
            </w:r>
            <w:r>
              <w:rPr>
                <w:rFonts w:hint="eastAsia" w:ascii="宋体" w:hAnsi="宋体" w:eastAsia="宋体" w:cs="宋体"/>
                <w:sz w:val="21"/>
                <w:szCs w:val="21"/>
                <w:highlight w:val="none"/>
                <w:lang w:val="en-US" w:eastAsia="zh-CN"/>
              </w:rPr>
              <w:t>2022年7月4日</w:t>
            </w:r>
            <w:r>
              <w:rPr>
                <w:rFonts w:hint="eastAsia" w:ascii="宋体" w:hAnsi="宋体" w:eastAsia="宋体" w:cs="宋体"/>
                <w:sz w:val="21"/>
                <w:szCs w:val="21"/>
                <w:highlight w:val="none"/>
              </w:rPr>
              <w:t>日对董军的检查结果为合格，检查人周建立。</w:t>
            </w:r>
          </w:p>
          <w:p>
            <w:pPr>
              <w:pageBreakBefore w:val="0"/>
              <w:widowControl w:val="0"/>
              <w:kinsoku/>
              <w:wordWrap/>
              <w:overflowPunct/>
              <w:topLinePunct w:val="0"/>
              <w:bidi w:val="0"/>
              <w:spacing w:line="240" w:lineRule="auto"/>
              <w:ind w:right="-6" w:rightChars="-3"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提供有供方出具的产品检验报告，见附件</w:t>
            </w:r>
          </w:p>
          <w:p>
            <w:pPr>
              <w:pageBreakBefore w:val="0"/>
              <w:widowControl w:val="0"/>
              <w:kinsoku/>
              <w:wordWrap/>
              <w:overflowPunct/>
              <w:topLinePunct w:val="0"/>
              <w:bidi w:val="0"/>
              <w:spacing w:line="240" w:lineRule="auto"/>
              <w:ind w:right="-6" w:rightChars="-3"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rPr>
              <w:t>）产品发货前开具发货单，装箱人员核对箱内产品名称、规格、数量、外观质量状况，无误后准许发货。</w:t>
            </w:r>
          </w:p>
          <w:p>
            <w:pPr>
              <w:pStyle w:val="20"/>
              <w:pageBreakBefore w:val="0"/>
              <w:widowControl w:val="0"/>
              <w:kinsoku/>
              <w:wordWrap/>
              <w:overflowPunct/>
              <w:topLinePunct w:val="0"/>
              <w:bidi w:val="0"/>
              <w:spacing w:line="240" w:lineRule="auto"/>
              <w:ind w:left="0" w:firstLine="482"/>
              <w:rPr>
                <w:rFonts w:hint="eastAsia" w:ascii="宋体" w:hAnsi="宋体" w:eastAsia="宋体" w:cs="宋体"/>
                <w:sz w:val="21"/>
                <w:szCs w:val="21"/>
                <w:highlight w:val="none"/>
              </w:rPr>
            </w:pPr>
            <w:r>
              <w:rPr>
                <w:rFonts w:hint="eastAsia" w:ascii="宋体" w:hAnsi="宋体" w:eastAsia="宋体" w:cs="宋体"/>
                <w:sz w:val="21"/>
                <w:szCs w:val="21"/>
                <w:highlight w:val="none"/>
              </w:rPr>
              <w:t>公司产品监视和测量控制基本有效。</w:t>
            </w:r>
          </w:p>
        </w:tc>
        <w:tc>
          <w:tcPr>
            <w:tcW w:w="895" w:type="dxa"/>
            <w:vAlign w:val="top"/>
          </w:tcPr>
          <w:p>
            <w:pPr>
              <w:keepLines w:val="0"/>
              <w:pageBreakBefore w:val="0"/>
              <w:widowControl w:val="0"/>
              <w:kinsoku/>
              <w:wordWrap/>
              <w:overflowPunct/>
              <w:topLinePunct w:val="0"/>
              <w:bidi w:val="0"/>
              <w:spacing w:line="240" w:lineRule="auto"/>
              <w:jc w:val="both"/>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858" w:type="dxa"/>
            <w:vAlign w:val="center"/>
          </w:tcPr>
          <w:p>
            <w:pPr>
              <w:pageBreakBefore w:val="0"/>
              <w:widowControl w:val="0"/>
              <w:kinsoku/>
              <w:wordWrap/>
              <w:overflowPunct/>
              <w:topLinePunct w:val="0"/>
              <w:bidi w:val="0"/>
              <w:spacing w:line="240" w:lineRule="auto"/>
              <w:rPr>
                <w:rFonts w:hint="eastAsia" w:ascii="宋体" w:hAnsi="宋体" w:eastAsia="宋体" w:cs="宋体"/>
                <w:sz w:val="21"/>
                <w:szCs w:val="21"/>
              </w:rPr>
            </w:pPr>
            <w:r>
              <w:rPr>
                <w:rFonts w:hint="eastAsia" w:ascii="宋体" w:hAnsi="宋体" w:eastAsia="宋体" w:cs="宋体"/>
                <w:sz w:val="21"/>
                <w:szCs w:val="21"/>
              </w:rPr>
              <w:t>不合格输出的控制</w:t>
            </w:r>
          </w:p>
        </w:tc>
        <w:tc>
          <w:tcPr>
            <w:tcW w:w="1166" w:type="dxa"/>
          </w:tcPr>
          <w:p>
            <w:pPr>
              <w:pageBreakBefore w:val="0"/>
              <w:widowControl w:val="0"/>
              <w:kinsoku/>
              <w:wordWrap/>
              <w:overflowPunct/>
              <w:topLinePunct w:val="0"/>
              <w:bidi w:val="0"/>
              <w:spacing w:line="240" w:lineRule="auto"/>
              <w:rPr>
                <w:rFonts w:hint="eastAsia" w:ascii="宋体" w:hAnsi="宋体" w:eastAsia="宋体" w:cs="宋体"/>
                <w:sz w:val="21"/>
                <w:szCs w:val="21"/>
              </w:rPr>
            </w:pPr>
            <w:r>
              <w:rPr>
                <w:rFonts w:hint="eastAsia" w:ascii="宋体" w:hAnsi="宋体" w:eastAsia="宋体" w:cs="宋体"/>
                <w:sz w:val="21"/>
                <w:szCs w:val="21"/>
              </w:rPr>
              <w:t xml:space="preserve">Q8.7 </w:t>
            </w:r>
          </w:p>
          <w:p>
            <w:pPr>
              <w:pageBreakBefore w:val="0"/>
              <w:widowControl w:val="0"/>
              <w:kinsoku/>
              <w:wordWrap/>
              <w:overflowPunct/>
              <w:topLinePunct w:val="0"/>
              <w:bidi w:val="0"/>
              <w:spacing w:line="240" w:lineRule="auto"/>
              <w:rPr>
                <w:rFonts w:hint="eastAsia" w:ascii="宋体" w:hAnsi="宋体" w:eastAsia="宋体" w:cs="宋体"/>
                <w:sz w:val="21"/>
                <w:szCs w:val="21"/>
              </w:rPr>
            </w:pPr>
          </w:p>
        </w:tc>
        <w:tc>
          <w:tcPr>
            <w:tcW w:w="10790" w:type="dxa"/>
            <w:vAlign w:val="center"/>
          </w:tcPr>
          <w:p>
            <w:pPr>
              <w:pageBreakBefore w:val="0"/>
              <w:widowControl w:val="0"/>
              <w:kinsoku/>
              <w:wordWrap/>
              <w:overflowPunct/>
              <w:topLinePunct w:val="0"/>
              <w:autoSpaceDE w:val="0"/>
              <w:autoSpaceDN w:val="0"/>
              <w:bidi w:val="0"/>
              <w:spacing w:line="24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公司制定并执行了《TJYY/QP-2020-16</w:t>
            </w:r>
            <w:r>
              <w:rPr>
                <w:rFonts w:hint="eastAsia" w:ascii="宋体" w:hAnsi="宋体" w:eastAsia="宋体" w:cs="宋体"/>
                <w:bCs/>
                <w:sz w:val="21"/>
                <w:szCs w:val="21"/>
              </w:rPr>
              <w:tab/>
            </w:r>
            <w:r>
              <w:rPr>
                <w:rFonts w:hint="eastAsia" w:ascii="宋体" w:hAnsi="宋体" w:eastAsia="宋体" w:cs="宋体"/>
                <w:bCs/>
                <w:sz w:val="21"/>
                <w:szCs w:val="21"/>
              </w:rPr>
              <w:t>不合格输出控制程序》，文件对不合格品的识别、控制方法和职责权限作出了规定，基本符合标准要求。</w:t>
            </w:r>
          </w:p>
          <w:p>
            <w:pPr>
              <w:pageBreakBefore w:val="0"/>
              <w:widowControl w:val="0"/>
              <w:kinsoku/>
              <w:wordWrap/>
              <w:overflowPunct/>
              <w:topLinePunct w:val="0"/>
              <w:autoSpaceDE w:val="0"/>
              <w:autoSpaceDN w:val="0"/>
              <w:bidi w:val="0"/>
              <w:spacing w:line="24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lang w:val="en-US" w:eastAsia="zh-CN"/>
              </w:rPr>
              <w:t>提供有</w:t>
            </w:r>
            <w:r>
              <w:rPr>
                <w:rFonts w:hint="eastAsia" w:ascii="宋体" w:hAnsi="宋体" w:eastAsia="宋体" w:cs="宋体"/>
                <w:bCs/>
                <w:sz w:val="21"/>
                <w:szCs w:val="21"/>
              </w:rPr>
              <w:t>《不合格品评审处置单》</w:t>
            </w:r>
            <w:r>
              <w:rPr>
                <w:rFonts w:hint="eastAsia" w:ascii="宋体" w:hAnsi="宋体" w:eastAsia="宋体" w:cs="宋体"/>
                <w:bCs/>
                <w:sz w:val="21"/>
                <w:szCs w:val="21"/>
                <w:lang w:eastAsia="zh-CN"/>
              </w:rPr>
              <w:t>，</w:t>
            </w:r>
            <w:r>
              <w:rPr>
                <w:rFonts w:hint="eastAsia" w:ascii="宋体" w:hAnsi="宋体" w:eastAsia="宋体" w:cs="宋体"/>
                <w:bCs/>
                <w:sz w:val="21"/>
                <w:szCs w:val="21"/>
                <w:lang w:val="en-US" w:eastAsia="zh-CN"/>
              </w:rPr>
              <w:t>查阅，本周期内无不合格情况发生</w:t>
            </w:r>
            <w:r>
              <w:rPr>
                <w:rFonts w:hint="eastAsia" w:ascii="宋体" w:hAnsi="宋体" w:eastAsia="宋体" w:cs="宋体"/>
                <w:bCs/>
                <w:sz w:val="21"/>
                <w:szCs w:val="21"/>
              </w:rPr>
              <w:t>。</w:t>
            </w:r>
          </w:p>
          <w:p>
            <w:pPr>
              <w:pageBreakBefore w:val="0"/>
              <w:widowControl w:val="0"/>
              <w:kinsoku/>
              <w:wordWrap/>
              <w:overflowPunct/>
              <w:topLinePunct w:val="0"/>
              <w:autoSpaceDE w:val="0"/>
              <w:autoSpaceDN w:val="0"/>
              <w:bidi w:val="0"/>
              <w:spacing w:line="240" w:lineRule="auto"/>
              <w:ind w:firstLine="420" w:firstLineChars="200"/>
              <w:rPr>
                <w:rFonts w:hint="eastAsia" w:ascii="宋体" w:hAnsi="宋体" w:eastAsia="宋体" w:cs="宋体"/>
                <w:sz w:val="21"/>
                <w:szCs w:val="21"/>
              </w:rPr>
            </w:pPr>
            <w:r>
              <w:rPr>
                <w:rFonts w:hint="eastAsia" w:ascii="宋体" w:hAnsi="宋体" w:eastAsia="宋体" w:cs="宋体"/>
                <w:bCs/>
                <w:sz w:val="21"/>
                <w:szCs w:val="21"/>
              </w:rPr>
              <w:t>产品交付后没有发现不合格的情况，不合格品控制有效。</w:t>
            </w:r>
          </w:p>
        </w:tc>
        <w:tc>
          <w:tcPr>
            <w:tcW w:w="895" w:type="dxa"/>
            <w:vAlign w:val="top"/>
          </w:tcPr>
          <w:p>
            <w:pPr>
              <w:keepLines w:val="0"/>
              <w:pageBreakBefore w:val="0"/>
              <w:widowControl w:val="0"/>
              <w:kinsoku/>
              <w:wordWrap/>
              <w:overflowPunct/>
              <w:topLinePunct w:val="0"/>
              <w:bidi w:val="0"/>
              <w:spacing w:line="24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858" w:type="dxa"/>
            <w:vAlign w:val="center"/>
          </w:tcPr>
          <w:p>
            <w:pPr>
              <w:pageBreakBefore w:val="0"/>
              <w:widowControl w:val="0"/>
              <w:kinsoku/>
              <w:wordWrap/>
              <w:overflowPunct/>
              <w:topLinePunct w:val="0"/>
              <w:bidi w:val="0"/>
              <w:spacing w:line="24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客户满意</w:t>
            </w:r>
          </w:p>
        </w:tc>
        <w:tc>
          <w:tcPr>
            <w:tcW w:w="1166" w:type="dxa"/>
            <w:vAlign w:val="top"/>
          </w:tcPr>
          <w:p>
            <w:pPr>
              <w:pageBreakBefore w:val="0"/>
              <w:widowControl w:val="0"/>
              <w:kinsoku/>
              <w:wordWrap/>
              <w:overflowPunct/>
              <w:topLinePunct w:val="0"/>
              <w:bidi w:val="0"/>
              <w:spacing w:line="240" w:lineRule="auto"/>
              <w:rPr>
                <w:rFonts w:hint="eastAsia" w:ascii="宋体" w:hAnsi="宋体" w:eastAsia="宋体" w:cs="宋体"/>
                <w:sz w:val="21"/>
                <w:szCs w:val="21"/>
              </w:rPr>
            </w:pPr>
          </w:p>
          <w:p>
            <w:pPr>
              <w:pageBreakBefore w:val="0"/>
              <w:widowControl w:val="0"/>
              <w:kinsoku/>
              <w:wordWrap/>
              <w:overflowPunct/>
              <w:topLinePunct w:val="0"/>
              <w:bidi w:val="0"/>
              <w:spacing w:line="240" w:lineRule="auto"/>
              <w:rPr>
                <w:rFonts w:hint="eastAsia" w:ascii="宋体" w:hAnsi="宋体" w:eastAsia="宋体" w:cs="宋体"/>
                <w:sz w:val="21"/>
                <w:szCs w:val="21"/>
              </w:rPr>
            </w:pPr>
          </w:p>
          <w:p>
            <w:pPr>
              <w:pageBreakBefore w:val="0"/>
              <w:widowControl w:val="0"/>
              <w:kinsoku/>
              <w:wordWrap/>
              <w:overflowPunct/>
              <w:topLinePunct w:val="0"/>
              <w:bidi w:val="0"/>
              <w:spacing w:line="240" w:lineRule="auto"/>
              <w:rPr>
                <w:rFonts w:hint="eastAsia" w:ascii="宋体" w:hAnsi="宋体" w:eastAsia="宋体" w:cs="宋体"/>
                <w:sz w:val="21"/>
                <w:szCs w:val="21"/>
              </w:rPr>
            </w:pPr>
          </w:p>
          <w:p>
            <w:pPr>
              <w:pageBreakBefore w:val="0"/>
              <w:widowControl w:val="0"/>
              <w:kinsoku/>
              <w:wordWrap/>
              <w:overflowPunct/>
              <w:topLinePunct w:val="0"/>
              <w:bidi w:val="0"/>
              <w:spacing w:line="240" w:lineRule="auto"/>
              <w:rPr>
                <w:rFonts w:hint="eastAsia" w:ascii="宋体" w:hAnsi="宋体" w:eastAsia="宋体" w:cs="宋体"/>
                <w:sz w:val="21"/>
                <w:szCs w:val="21"/>
              </w:rPr>
            </w:pPr>
          </w:p>
          <w:p>
            <w:pPr>
              <w:pageBreakBefore w:val="0"/>
              <w:widowControl w:val="0"/>
              <w:kinsoku/>
              <w:wordWrap/>
              <w:overflowPunct/>
              <w:topLinePunct w:val="0"/>
              <w:bidi w:val="0"/>
              <w:spacing w:line="24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 xml:space="preserve">Q 9.1.2 </w:t>
            </w:r>
          </w:p>
        </w:tc>
        <w:tc>
          <w:tcPr>
            <w:tcW w:w="10790" w:type="dxa"/>
            <w:vAlign w:val="top"/>
          </w:tcPr>
          <w:p>
            <w:pPr>
              <w:pageBreakBefore w:val="0"/>
              <w:widowControl w:val="0"/>
              <w:tabs>
                <w:tab w:val="left" w:pos="798"/>
                <w:tab w:val="left" w:pos="3606"/>
                <w:tab w:val="left" w:pos="5979"/>
                <w:tab w:val="left" w:pos="6807"/>
                <w:tab w:val="left" w:pos="8715"/>
                <w:tab w:val="left" w:pos="10413"/>
                <w:tab w:val="left" w:pos="11871"/>
                <w:tab w:val="left" w:pos="14949"/>
              </w:tabs>
              <w:kinsoku/>
              <w:wordWrap/>
              <w:overflowPunct/>
              <w:topLinePunct w:val="0"/>
              <w:autoSpaceDE w:val="0"/>
              <w:autoSpaceDN w:val="0"/>
              <w:bidi w:val="0"/>
              <w:spacing w:line="24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提供《顾客满意度调查表》，调查包含：质量、交期、服务、价格等指标，满意程度分为很满意、满意、一般满意、不满意等四个档次。</w:t>
            </w:r>
          </w:p>
          <w:p>
            <w:pPr>
              <w:pageBreakBefore w:val="0"/>
              <w:widowControl w:val="0"/>
              <w:tabs>
                <w:tab w:val="left" w:pos="798"/>
                <w:tab w:val="left" w:pos="3606"/>
                <w:tab w:val="left" w:pos="5979"/>
                <w:tab w:val="left" w:pos="6807"/>
                <w:tab w:val="left" w:pos="8715"/>
                <w:tab w:val="left" w:pos="10413"/>
                <w:tab w:val="left" w:pos="11871"/>
                <w:tab w:val="left" w:pos="14949"/>
              </w:tabs>
              <w:kinsoku/>
              <w:wordWrap/>
              <w:overflowPunct/>
              <w:topLinePunct w:val="0"/>
              <w:autoSpaceDE w:val="0"/>
              <w:autoSpaceDN w:val="0"/>
              <w:bidi w:val="0"/>
              <w:spacing w:line="24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抽查客户：</w:t>
            </w:r>
            <w:r>
              <w:rPr>
                <w:rFonts w:hint="eastAsia" w:ascii="宋体" w:hAnsi="宋体" w:eastAsia="宋体" w:cs="宋体"/>
                <w:color w:val="2B2B2B"/>
                <w:sz w:val="21"/>
                <w:szCs w:val="21"/>
                <w:shd w:val="clear" w:color="auto" w:fill="FFFFFF"/>
              </w:rPr>
              <w:t>山东德业教学设备有限公司</w:t>
            </w:r>
            <w:r>
              <w:rPr>
                <w:rFonts w:hint="eastAsia" w:ascii="宋体" w:hAnsi="宋体" w:eastAsia="宋体" w:cs="宋体"/>
                <w:sz w:val="21"/>
                <w:szCs w:val="21"/>
              </w:rPr>
              <w:t>、</w:t>
            </w:r>
            <w:r>
              <w:rPr>
                <w:rFonts w:hint="eastAsia" w:ascii="宋体" w:hAnsi="宋体" w:eastAsia="宋体" w:cs="宋体"/>
                <w:color w:val="2B2B2B"/>
                <w:sz w:val="21"/>
                <w:szCs w:val="21"/>
                <w:shd w:val="clear" w:color="auto" w:fill="FFFFFF"/>
              </w:rPr>
              <w:t>鄄城梦真科教设备有限公司</w:t>
            </w:r>
            <w:r>
              <w:rPr>
                <w:rFonts w:hint="eastAsia" w:ascii="宋体" w:hAnsi="宋体" w:eastAsia="宋体" w:cs="宋体"/>
                <w:sz w:val="21"/>
                <w:szCs w:val="21"/>
              </w:rPr>
              <w:t>等4份，从提供的调查表来看，客户对组织评价均为“很满意”或“满意”。</w:t>
            </w:r>
          </w:p>
          <w:p>
            <w:pPr>
              <w:pageBreakBefore w:val="0"/>
              <w:widowControl w:val="0"/>
              <w:tabs>
                <w:tab w:val="left" w:pos="6597"/>
              </w:tabs>
              <w:kinsoku/>
              <w:wordWrap/>
              <w:overflowPunct/>
              <w:topLinePunct w:val="0"/>
              <w:bidi w:val="0"/>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公司通过拜访、电话、电邮、问卷等形式，收集顾客反馈信息，监视顾客满意程度，评价体系的有效性，寻求体系改进的机会。</w:t>
            </w:r>
          </w:p>
          <w:p>
            <w:pPr>
              <w:pageBreakBefore w:val="0"/>
              <w:widowControl w:val="0"/>
              <w:tabs>
                <w:tab w:val="left" w:pos="6597"/>
              </w:tabs>
              <w:kinsoku/>
              <w:wordWrap/>
              <w:overflowPunct/>
              <w:topLinePunct w:val="0"/>
              <w:bidi w:val="0"/>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查见</w:t>
            </w:r>
            <w:r>
              <w:rPr>
                <w:rFonts w:hint="eastAsia" w:ascii="宋体" w:hAnsi="宋体" w:eastAsia="宋体" w:cs="宋体"/>
                <w:sz w:val="21"/>
                <w:szCs w:val="21"/>
                <w:lang w:val="en-US" w:eastAsia="zh-CN"/>
              </w:rPr>
              <w:t>2022年3月26日</w:t>
            </w:r>
            <w:r>
              <w:rPr>
                <w:rFonts w:hint="eastAsia" w:ascii="宋体" w:hAnsi="宋体" w:eastAsia="宋体" w:cs="宋体"/>
                <w:sz w:val="21"/>
                <w:szCs w:val="21"/>
              </w:rPr>
              <w:t>日《顾客满意度调查统计表》，编写：周建立，审批：郝妍。对顾客满意度指标完成情况、顾客建议改进方向等予以分析汇总，经评价测算客户满意度得分9</w:t>
            </w:r>
            <w:r>
              <w:rPr>
                <w:rFonts w:hint="eastAsia" w:ascii="宋体" w:hAnsi="宋体" w:eastAsia="宋体" w:cs="宋体"/>
                <w:sz w:val="21"/>
                <w:szCs w:val="21"/>
                <w:lang w:val="en-US" w:eastAsia="zh-CN"/>
              </w:rPr>
              <w:t>7</w:t>
            </w:r>
            <w:r>
              <w:rPr>
                <w:rFonts w:hint="eastAsia" w:ascii="宋体" w:hAnsi="宋体" w:eastAsia="宋体" w:cs="宋体"/>
                <w:sz w:val="21"/>
                <w:szCs w:val="21"/>
              </w:rPr>
              <w:t>%，收集顾客改进建议及时反馈处理。</w:t>
            </w:r>
          </w:p>
          <w:p>
            <w:pPr>
              <w:pageBreakBefore w:val="0"/>
              <w:widowControl w:val="0"/>
              <w:tabs>
                <w:tab w:val="left" w:pos="6597"/>
              </w:tabs>
              <w:kinsoku/>
              <w:wordWrap/>
              <w:overflowPunct/>
              <w:topLinePunct w:val="0"/>
              <w:bidi w:val="0"/>
              <w:spacing w:line="24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sz w:val="21"/>
                <w:szCs w:val="21"/>
              </w:rPr>
              <w:t>经交流体系运行至今未发生投诉情况，日常顾客反馈都是一些小问题已及时处理。</w:t>
            </w:r>
          </w:p>
        </w:tc>
        <w:tc>
          <w:tcPr>
            <w:tcW w:w="895" w:type="dxa"/>
            <w:vAlign w:val="top"/>
          </w:tcPr>
          <w:p>
            <w:pPr>
              <w:keepLines w:val="0"/>
              <w:pageBreakBefore w:val="0"/>
              <w:widowControl w:val="0"/>
              <w:kinsoku/>
              <w:wordWrap/>
              <w:overflowPunct/>
              <w:topLinePunct w:val="0"/>
              <w:bidi w:val="0"/>
              <w:spacing w:line="240" w:lineRule="auto"/>
              <w:jc w:val="both"/>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符合</w:t>
            </w:r>
          </w:p>
        </w:tc>
      </w:tr>
    </w:tbl>
    <w:p>
      <w:pPr>
        <w:jc w:val="left"/>
      </w:pPr>
      <w:r>
        <w:rPr>
          <w:rFonts w:hint="eastAsia"/>
        </w:rPr>
        <w:t>说明：不符合标注N</w:t>
      </w:r>
    </w:p>
    <w:p>
      <w:pPr>
        <w:pStyle w:val="8"/>
      </w:pPr>
    </w:p>
    <w:p>
      <w:pPr>
        <w:pStyle w:val="5"/>
      </w:pPr>
    </w:p>
    <w:p>
      <w:pPr>
        <w:pStyle w:val="8"/>
      </w:pPr>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
    <w:altName w:val="PMingLiU-ExtB"/>
    <w:panose1 w:val="02010609000101010101"/>
    <w:charset w:val="88"/>
    <w:family w:val="modern"/>
    <w:pitch w:val="default"/>
    <w:sig w:usb0="00000000" w:usb1="00000000" w:usb2="00000010" w:usb3="00000000" w:csb0="00100000" w:csb1="00000000"/>
  </w:font>
  <w:font w:name="PMingLiU-ExtB">
    <w:panose1 w:val="02020500000000000000"/>
    <w:charset w:val="88"/>
    <w:family w:val="auto"/>
    <w:pitch w:val="default"/>
    <w:sig w:usb0="8000002F" w:usb1="02000008" w:usb2="00000000" w:usb3="00000000" w:csb0="00100001"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方正仿宋简体">
    <w:altName w:val="宋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8"/>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9"/>
      <w:pBdr>
        <w:bottom w:val="none" w:color="auto" w:sz="0" w:space="0"/>
      </w:pBdr>
      <w:spacing w:line="320" w:lineRule="exact"/>
      <w:ind w:firstLine="756" w:firstLineChars="400"/>
      <w:jc w:val="left"/>
    </w:pPr>
    <w:r>
      <w:rPr>
        <w:rStyle w:val="15"/>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65525F5"/>
    <w:multiLevelType w:val="multilevel"/>
    <w:tmpl w:val="665525F5"/>
    <w:lvl w:ilvl="0" w:tentative="0">
      <w:start w:val="2"/>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685F51A6"/>
    <w:multiLevelType w:val="multilevel"/>
    <w:tmpl w:val="685F51A6"/>
    <w:lvl w:ilvl="0" w:tentative="0">
      <w:start w:val="2"/>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GQyZmQ4MWM5YTdlOTM3ZWEzMDQwZGU2MjkwZTUyZWYifQ=="/>
  </w:docVars>
  <w:rsids>
    <w:rsidRoot w:val="00000000"/>
    <w:rsid w:val="10AB6CA0"/>
    <w:rsid w:val="35BD49A7"/>
    <w:rsid w:val="42A26ED8"/>
    <w:rsid w:val="575B456D"/>
    <w:rsid w:val="6BA24904"/>
    <w:rsid w:val="6DDB6A2D"/>
    <w:rsid w:val="7DE91552"/>
    <w:rsid w:val="7E700F5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spacing w:beforeLines="0" w:beforeAutospacing="0" w:afterLines="0" w:afterAutospacing="0" w:line="360" w:lineRule="auto"/>
      <w:jc w:val="center"/>
      <w:outlineLvl w:val="0"/>
    </w:pPr>
    <w:rPr>
      <w:rFonts w:ascii="Calibri" w:hAnsi="Calibri" w:eastAsia="宋体" w:cs="Times New Roman"/>
      <w:b/>
      <w:kern w:val="44"/>
      <w:sz w:val="44"/>
      <w:szCs w:val="22"/>
    </w:rPr>
  </w:style>
  <w:style w:type="paragraph" w:styleId="4">
    <w:name w:val="heading 2"/>
    <w:basedOn w:val="1"/>
    <w:next w:val="5"/>
    <w:qFormat/>
    <w:uiPriority w:val="0"/>
    <w:pPr>
      <w:keepNext/>
      <w:adjustRightInd w:val="0"/>
      <w:snapToGrid w:val="0"/>
      <w:spacing w:line="400" w:lineRule="atLeast"/>
      <w:ind w:right="48"/>
      <w:jc w:val="center"/>
      <w:textAlignment w:val="baseline"/>
      <w:outlineLvl w:val="1"/>
    </w:pPr>
    <w:rPr>
      <w:rFonts w:ascii="MingLiU" w:eastAsia="MingLiU"/>
      <w:kern w:val="0"/>
      <w:sz w:val="28"/>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pPr>
      <w:spacing w:line="420" w:lineRule="exact"/>
    </w:pPr>
    <w:rPr>
      <w:sz w:val="24"/>
    </w:rPr>
  </w:style>
  <w:style w:type="paragraph" w:styleId="5">
    <w:name w:val="Normal Indent"/>
    <w:basedOn w:val="1"/>
    <w:qFormat/>
    <w:uiPriority w:val="0"/>
    <w:pPr>
      <w:adjustRightInd w:val="0"/>
      <w:spacing w:line="360" w:lineRule="atLeast"/>
      <w:ind w:left="480"/>
      <w:textAlignment w:val="baseline"/>
    </w:pPr>
    <w:rPr>
      <w:kern w:val="0"/>
    </w:rPr>
  </w:style>
  <w:style w:type="paragraph" w:styleId="6">
    <w:name w:val="Plain Text"/>
    <w:basedOn w:val="1"/>
    <w:qFormat/>
    <w:uiPriority w:val="0"/>
    <w:rPr>
      <w:rFonts w:hint="eastAsia" w:ascii="宋体" w:hAnsi="Courier New"/>
    </w:rPr>
  </w:style>
  <w:style w:type="paragraph" w:styleId="7">
    <w:name w:val="Balloon Text"/>
    <w:basedOn w:val="1"/>
    <w:link w:val="14"/>
    <w:semiHidden/>
    <w:unhideWhenUsed/>
    <w:qFormat/>
    <w:uiPriority w:val="99"/>
    <w:rPr>
      <w:sz w:val="18"/>
      <w:szCs w:val="18"/>
    </w:rPr>
  </w:style>
  <w:style w:type="paragraph" w:styleId="8">
    <w:name w:val="footer"/>
    <w:basedOn w:val="1"/>
    <w:link w:val="13"/>
    <w:unhideWhenUsed/>
    <w:qFormat/>
    <w:uiPriority w:val="99"/>
    <w:pPr>
      <w:tabs>
        <w:tab w:val="center" w:pos="4153"/>
        <w:tab w:val="right" w:pos="8306"/>
      </w:tabs>
      <w:snapToGrid w:val="0"/>
      <w:jc w:val="left"/>
    </w:pPr>
    <w:rPr>
      <w:sz w:val="18"/>
      <w:szCs w:val="18"/>
    </w:rPr>
  </w:style>
  <w:style w:type="paragraph" w:styleId="9">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12">
    <w:name w:val="页眉 Char"/>
    <w:basedOn w:val="11"/>
    <w:link w:val="9"/>
    <w:qFormat/>
    <w:uiPriority w:val="99"/>
    <w:rPr>
      <w:rFonts w:ascii="Times New Roman" w:hAnsi="Times New Roman" w:eastAsia="宋体" w:cs="Times New Roman"/>
      <w:sz w:val="18"/>
      <w:szCs w:val="18"/>
    </w:rPr>
  </w:style>
  <w:style w:type="character" w:customStyle="1" w:styleId="13">
    <w:name w:val="页脚 Char"/>
    <w:basedOn w:val="11"/>
    <w:link w:val="8"/>
    <w:qFormat/>
    <w:uiPriority w:val="99"/>
    <w:rPr>
      <w:rFonts w:ascii="Times New Roman" w:hAnsi="Times New Roman" w:eastAsia="宋体" w:cs="Times New Roman"/>
      <w:sz w:val="18"/>
      <w:szCs w:val="18"/>
    </w:rPr>
  </w:style>
  <w:style w:type="character" w:customStyle="1" w:styleId="14">
    <w:name w:val="批注框文本 Char"/>
    <w:basedOn w:val="11"/>
    <w:link w:val="7"/>
    <w:semiHidden/>
    <w:qFormat/>
    <w:uiPriority w:val="99"/>
    <w:rPr>
      <w:rFonts w:ascii="Times New Roman" w:hAnsi="Times New Roman" w:eastAsia="宋体" w:cs="Times New Roman"/>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表格文字"/>
    <w:basedOn w:val="1"/>
    <w:qFormat/>
    <w:uiPriority w:val="0"/>
    <w:pPr>
      <w:spacing w:before="25" w:after="25"/>
    </w:pPr>
    <w:rPr>
      <w:bCs/>
      <w:spacing w:val="10"/>
    </w:rPr>
  </w:style>
  <w:style w:type="paragraph" w:styleId="17">
    <w:name w:val="No Spacing"/>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8">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 w:type="character" w:customStyle="1" w:styleId="19">
    <w:name w:val="f11"/>
    <w:basedOn w:val="11"/>
    <w:qFormat/>
    <w:uiPriority w:val="0"/>
    <w:rPr>
      <w:sz w:val="20"/>
      <w:szCs w:val="20"/>
    </w:rPr>
  </w:style>
  <w:style w:type="paragraph" w:customStyle="1" w:styleId="20">
    <w:name w:val="东方正文"/>
    <w:basedOn w:val="1"/>
    <w:qFormat/>
    <w:uiPriority w:val="0"/>
    <w:pPr>
      <w:spacing w:line="400" w:lineRule="exact"/>
      <w:ind w:left="284" w:right="284"/>
    </w:pPr>
    <w:rPr>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30</Pages>
  <Words>20737</Words>
  <Characters>22095</Characters>
  <Lines>1</Lines>
  <Paragraphs>1</Paragraphs>
  <TotalTime>2</TotalTime>
  <ScaleCrop>false</ScaleCrop>
  <LinksUpToDate>false</LinksUpToDate>
  <CharactersWithSpaces>22728</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way一直都在</cp:lastModifiedBy>
  <dcterms:modified xsi:type="dcterms:W3CDTF">2022-08-28T14:19:35Z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2052-11.1.0.12302</vt:lpwstr>
  </property>
</Properties>
</file>