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0760-2021-Q-2022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四川恒劲人防设备有限公司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四川恒劲人防设备有限公司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四川省德阳市区龙泉山南路三段37号</w:t>
            </w:r>
            <w:bookmarkEnd w:id="6"/>
          </w:p>
        </w:tc>
        <w:tc>
          <w:tcPr>
            <w:tcW w:w="1242" w:type="dxa"/>
            <w:vMerge w:val="restart"/>
            <w:vAlign w:val="center"/>
          </w:tcPr>
          <w:p>
            <w:r>
              <w:rPr>
                <w:rFonts w:hint="eastAsia"/>
              </w:rPr>
              <w:t>邮编</w:t>
            </w:r>
          </w:p>
        </w:tc>
        <w:tc>
          <w:tcPr>
            <w:tcW w:w="1771" w:type="dxa"/>
          </w:tcPr>
          <w:p>
            <w:bookmarkStart w:id="7" w:name="注册邮编"/>
            <w:r>
              <w:t>618000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四川省德阳市区龙泉山南路三段37号</w:t>
            </w:r>
            <w:bookmarkEnd w:id="8"/>
          </w:p>
        </w:tc>
        <w:tc>
          <w:tcPr>
            <w:tcW w:w="1242" w:type="dxa"/>
            <w:vMerge w:val="continue"/>
            <w:vAlign w:val="center"/>
          </w:tcPr>
          <w:p/>
        </w:tc>
        <w:tc>
          <w:tcPr>
            <w:tcW w:w="1771" w:type="dxa"/>
          </w:tcPr>
          <w:p>
            <w:bookmarkStart w:id="9" w:name="办公邮编"/>
            <w:r>
              <w:t>618000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储周龙</w:t>
            </w:r>
            <w:bookmarkEnd w:id="13"/>
          </w:p>
        </w:tc>
        <w:tc>
          <w:tcPr>
            <w:tcW w:w="1313" w:type="dxa"/>
            <w:vAlign w:val="center"/>
          </w:tcPr>
          <w:p>
            <w:r>
              <w:rPr>
                <w:rFonts w:hint="eastAsia"/>
              </w:rPr>
              <w:t>管理者代表</w:t>
            </w:r>
          </w:p>
        </w:tc>
        <w:tc>
          <w:tcPr>
            <w:tcW w:w="2180" w:type="dxa"/>
          </w:tcPr>
          <w:p>
            <w:bookmarkStart w:id="14" w:name="管理者代表"/>
            <w:r>
              <w:t>邓成洋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销售</w:t>
            </w:r>
            <w:r>
              <w:rPr>
                <w:rFonts w:hint="eastAsia" w:ascii="Times New Roman" w:hAnsi="Times New Roman" w:eastAsia="宋体" w:cs="Times New Roman"/>
              </w:rPr>
              <w:t>流程：商务洽谈----签订合同-----采购产品----产品交付----售后服务</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门扇（钢筋混凝土防护设备）</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下料—组装焊接—表面打磨—浇筑—养护—脱模-检验—刷漆（现场安装时）—入库</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门扇（钢结构手动的防护设备）</w:t>
            </w:r>
          </w:p>
          <w:p>
            <w:pPr>
              <w:rPr>
                <w:rFonts w:hint="eastAsia"/>
                <w:lang w:val="en-US" w:eastAsia="zh-CN"/>
              </w:rPr>
            </w:pPr>
            <w:r>
              <w:rPr>
                <w:rFonts w:hint="eastAsia" w:ascii="Times New Roman" w:hAnsi="Times New Roman" w:eastAsia="宋体" w:cs="Times New Roman"/>
                <w:lang w:val="en-US" w:eastAsia="zh-CN"/>
              </w:rPr>
              <w:t>下料——打磨——焊接组装——表面打磨——检验——刷漆（现场安装时）——入库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2022年08月11日 上午至2022年08月11日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A3"/>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四川省德阳市区龙泉山南路三段37号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资质范围内钢筋混凝土防护设备、钢结构手动防护设备的生产和阀门的销售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18.05.02;29.11.04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2018年1月1日</w:t>
            </w:r>
          </w:p>
        </w:tc>
        <w:tc>
          <w:tcPr>
            <w:tcW w:w="1883" w:type="dxa"/>
            <w:vAlign w:val="center"/>
          </w:tcPr>
          <w:p>
            <w:r>
              <w:rPr>
                <w:rFonts w:hint="eastAsia"/>
              </w:rPr>
              <w:t>管理体系运行已超过3个月</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2021年7月23日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rPr>
              <w:t>有效至2024</w:t>
            </w:r>
            <w:r>
              <w:rPr>
                <w:rFonts w:hint="eastAsia" w:ascii="Times New Roman" w:hAnsi="Times New Roman" w:eastAsia="宋体" w:cs="Times New Roman"/>
                <w:lang w:val="en-US" w:eastAsia="zh-CN"/>
              </w:rPr>
              <w:t>年8月29日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91"/>
        <w:gridCol w:w="11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91" w:type="dxa"/>
            <w:shd w:val="clear" w:color="auto" w:fill="F3F3F3"/>
            <w:tcMar>
              <w:left w:w="57" w:type="dxa"/>
              <w:right w:w="57" w:type="dxa"/>
            </w:tcMar>
          </w:tcPr>
          <w:p>
            <w:r>
              <w:rPr>
                <w:rFonts w:hint="eastAsia"/>
              </w:rPr>
              <w:t>审核范围（产品和过程）</w:t>
            </w:r>
          </w:p>
          <w:p/>
          <w:p/>
        </w:tc>
        <w:tc>
          <w:tcPr>
            <w:tcW w:w="11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四川恒劲人防设备有限公司</w:t>
            </w:r>
            <w:r>
              <w:rPr>
                <w:rFonts w:hint="eastAsia"/>
                <w:sz w:val="21"/>
                <w:szCs w:val="21"/>
                <w:lang w:val="en-US" w:eastAsia="zh-CN"/>
              </w:rPr>
              <w:t>/</w:t>
            </w:r>
            <w:r>
              <w:rPr>
                <w:rFonts w:asciiTheme="minorEastAsia" w:hAnsiTheme="minorEastAsia" w:eastAsiaTheme="minorEastAsia"/>
                <w:sz w:val="20"/>
              </w:rPr>
              <w:t>四川省德阳市区龙泉山南路三段37号</w:t>
            </w:r>
          </w:p>
        </w:tc>
        <w:tc>
          <w:tcPr>
            <w:tcW w:w="2267" w:type="dxa"/>
          </w:tcPr>
          <w:p>
            <w:pPr>
              <w:rPr>
                <w:lang w:val="de-DE" w:eastAsia="ja-JP"/>
              </w:rPr>
            </w:pPr>
            <w:r>
              <w:rPr>
                <w:rFonts w:asciiTheme="minorEastAsia" w:hAnsiTheme="minorEastAsia" w:eastAsiaTheme="minorEastAsia"/>
                <w:sz w:val="20"/>
              </w:rPr>
              <w:t>四川省德阳市区龙泉山南路三段37号</w:t>
            </w:r>
          </w:p>
        </w:tc>
        <w:tc>
          <w:tcPr>
            <w:tcW w:w="571" w:type="dxa"/>
            <w:vAlign w:val="center"/>
          </w:tcPr>
          <w:p>
            <w:pPr>
              <w:rPr>
                <w:rFonts w:hint="default" w:eastAsia="宋体"/>
                <w:lang w:val="en-US" w:eastAsia="zh-CN"/>
              </w:rPr>
            </w:pPr>
            <w:r>
              <w:rPr>
                <w:rFonts w:hint="eastAsia"/>
                <w:lang w:val="en-US" w:eastAsia="zh-CN"/>
              </w:rPr>
              <w:t>41</w:t>
            </w:r>
          </w:p>
        </w:tc>
        <w:tc>
          <w:tcPr>
            <w:tcW w:w="2291" w:type="dxa"/>
            <w:vAlign w:val="center"/>
          </w:tcPr>
          <w:p>
            <w:pPr>
              <w:rPr>
                <w:lang w:eastAsia="ja-JP"/>
              </w:rPr>
            </w:pPr>
            <w:r>
              <w:rPr>
                <w:sz w:val="20"/>
              </w:rPr>
              <w:t>资质范围内钢筋混凝土防护设备、钢结构手动防护设备的生产和阀门的销售</w:t>
            </w:r>
          </w:p>
        </w:tc>
        <w:tc>
          <w:tcPr>
            <w:tcW w:w="1181"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91" w:type="dxa"/>
            <w:vAlign w:val="center"/>
          </w:tcPr>
          <w:p>
            <w:pPr>
              <w:rPr>
                <w:lang w:eastAsia="ja-JP"/>
              </w:rPr>
            </w:pPr>
          </w:p>
        </w:tc>
        <w:tc>
          <w:tcPr>
            <w:tcW w:w="11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91" w:type="dxa"/>
            <w:vAlign w:val="center"/>
          </w:tcPr>
          <w:p>
            <w:pPr>
              <w:rPr>
                <w:lang w:eastAsia="ja-JP"/>
              </w:rPr>
            </w:pPr>
          </w:p>
        </w:tc>
        <w:tc>
          <w:tcPr>
            <w:tcW w:w="11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91" w:type="dxa"/>
            <w:vAlign w:val="center"/>
          </w:tcPr>
          <w:p>
            <w:pPr>
              <w:rPr>
                <w:lang w:eastAsia="ja-JP"/>
              </w:rPr>
            </w:pPr>
          </w:p>
        </w:tc>
        <w:tc>
          <w:tcPr>
            <w:tcW w:w="11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91" w:type="dxa"/>
            <w:vAlign w:val="center"/>
          </w:tcPr>
          <w:p>
            <w:pPr>
              <w:rPr>
                <w:lang w:eastAsia="ja-JP"/>
              </w:rPr>
            </w:pPr>
          </w:p>
        </w:tc>
        <w:tc>
          <w:tcPr>
            <w:tcW w:w="11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r>
              <w:t>18.05.02,29.11.04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2022年08月11日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kern w:val="2"/>
                <w:sz w:val="21"/>
                <w:szCs w:val="24"/>
                <w:u w:val="single"/>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p>
          <w:p>
            <w:pPr>
              <w:spacing w:line="400" w:lineRule="exact"/>
              <w:ind w:firstLine="420" w:firstLineChars="200"/>
              <w:jc w:val="both"/>
              <w:rPr>
                <w:rFonts w:hint="eastAsia" w:ascii="Times New Roman" w:hAnsi="Times New Roman" w:eastAsia="宋体" w:cs="Times New Roman"/>
              </w:rPr>
            </w:pPr>
            <w:r>
              <w:rPr>
                <w:rFonts w:hint="eastAsia" w:ascii="宋体" w:hAnsi="宋体" w:eastAsia="宋体" w:cs="宋体"/>
                <w:color w:val="000000"/>
                <w:sz w:val="21"/>
                <w:szCs w:val="21"/>
              </w:rPr>
              <w:t>优质、高效、诚信、创新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诚信为本 客户至上 服务第一</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jc w:val="left"/>
                    <w:rPr>
                      <w:rFonts w:hint="eastAsia" w:ascii="宋体" w:hAnsi="宋体" w:eastAsia="宋体" w:cs="Times New Roman"/>
                      <w:b/>
                      <w:kern w:val="2"/>
                      <w:sz w:val="21"/>
                      <w:szCs w:val="21"/>
                      <w:lang w:val="en-US" w:eastAsia="zh-CN" w:bidi="ar-SA"/>
                    </w:rPr>
                  </w:pPr>
                  <w:r>
                    <w:rPr>
                      <w:rFonts w:hint="eastAsia" w:ascii="宋体" w:hAnsi="宋体"/>
                      <w:b/>
                      <w:snapToGrid w:val="0"/>
                      <w:kern w:val="0"/>
                      <w:szCs w:val="21"/>
                    </w:rPr>
                    <w:t>产品交</w:t>
                  </w:r>
                  <w:r>
                    <w:rPr>
                      <w:rFonts w:hint="eastAsia" w:ascii="宋体" w:hAnsi="宋体"/>
                      <w:b/>
                      <w:szCs w:val="21"/>
                    </w:rPr>
                    <w:t>付合格率100%；</w:t>
                  </w:r>
                </w:p>
              </w:tc>
              <w:tc>
                <w:tcPr>
                  <w:tcW w:w="3136" w:type="dxa"/>
                  <w:shd w:val="clear" w:color="auto" w:fill="auto"/>
                  <w:vAlign w:val="center"/>
                </w:tcPr>
                <w:p>
                  <w:pPr>
                    <w:jc w:val="left"/>
                    <w:rPr>
                      <w:rFonts w:hint="eastAsia" w:ascii="宋体" w:hAnsi="宋体" w:eastAsia="宋体" w:cs="Times New Roman"/>
                      <w:b/>
                      <w:kern w:val="2"/>
                      <w:sz w:val="21"/>
                      <w:szCs w:val="21"/>
                      <w:lang w:val="en-GB" w:eastAsia="zh-CN" w:bidi="ar-SA"/>
                    </w:rPr>
                  </w:pPr>
                  <w:r>
                    <w:rPr>
                      <w:rFonts w:ascii="宋体" w:hAnsi="宋体"/>
                      <w:b/>
                      <w:szCs w:val="21"/>
                    </w:rPr>
                    <w:t>交付合格数</w:t>
                  </w:r>
                  <w:r>
                    <w:rPr>
                      <w:rFonts w:hint="eastAsia" w:ascii="宋体" w:hAnsi="宋体"/>
                      <w:b/>
                      <w:szCs w:val="21"/>
                    </w:rPr>
                    <w:t>/交付</w:t>
                  </w:r>
                  <w:r>
                    <w:rPr>
                      <w:rFonts w:ascii="宋体" w:hAnsi="宋体"/>
                      <w:b/>
                      <w:szCs w:val="21"/>
                    </w:rPr>
                    <w:t>总数*100%</w:t>
                  </w:r>
                </w:p>
              </w:tc>
              <w:tc>
                <w:tcPr>
                  <w:tcW w:w="1350" w:type="dxa"/>
                  <w:shd w:val="clear" w:color="auto" w:fill="auto"/>
                  <w:vAlign w:val="center"/>
                </w:tcPr>
                <w:p>
                  <w:pPr>
                    <w:jc w:val="lef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eastAsia="宋体" w:cs="Times New Roman"/>
                      <w:b/>
                      <w:kern w:val="2"/>
                      <w:sz w:val="21"/>
                      <w:szCs w:val="21"/>
                      <w:lang w:val="en-US" w:eastAsia="zh-CN" w:bidi="ar-SA"/>
                    </w:rPr>
                  </w:pPr>
                  <w:r>
                    <w:rPr>
                      <w:rFonts w:hint="eastAsia" w:ascii="宋体" w:hAnsi="宋体"/>
                      <w:b/>
                      <w:szCs w:val="21"/>
                    </w:rPr>
                    <w:t>合同按时交付率100%</w:t>
                  </w:r>
                </w:p>
              </w:tc>
              <w:tc>
                <w:tcPr>
                  <w:tcW w:w="3136" w:type="dxa"/>
                  <w:shd w:val="clear" w:color="auto" w:fill="auto"/>
                  <w:vAlign w:val="center"/>
                </w:tcPr>
                <w:p>
                  <w:pPr>
                    <w:rPr>
                      <w:rFonts w:hint="eastAsia" w:ascii="宋体" w:hAnsi="宋体" w:eastAsia="宋体" w:cs="Times New Roman"/>
                      <w:b/>
                      <w:kern w:val="2"/>
                      <w:sz w:val="21"/>
                      <w:szCs w:val="21"/>
                      <w:lang w:val="en-US" w:eastAsia="zh-CN" w:bidi="ar-SA"/>
                    </w:rPr>
                  </w:pPr>
                  <w:r>
                    <w:rPr>
                      <w:rFonts w:hint="eastAsia" w:ascii="宋体" w:hAnsi="宋体"/>
                      <w:b/>
                      <w:szCs w:val="21"/>
                    </w:rPr>
                    <w:t>合同交付</w:t>
                  </w:r>
                  <w:r>
                    <w:rPr>
                      <w:rFonts w:ascii="宋体" w:hAnsi="宋体"/>
                      <w:b/>
                      <w:szCs w:val="21"/>
                    </w:rPr>
                    <w:t>数</w:t>
                  </w:r>
                  <w:r>
                    <w:rPr>
                      <w:rFonts w:hint="eastAsia" w:ascii="宋体" w:hAnsi="宋体"/>
                      <w:b/>
                      <w:szCs w:val="21"/>
                    </w:rPr>
                    <w:t>/交付</w:t>
                  </w:r>
                  <w:r>
                    <w:rPr>
                      <w:rFonts w:ascii="宋体" w:hAnsi="宋体"/>
                      <w:b/>
                      <w:szCs w:val="21"/>
                    </w:rPr>
                    <w:t>总数*100%</w:t>
                  </w:r>
                </w:p>
              </w:tc>
              <w:tc>
                <w:tcPr>
                  <w:tcW w:w="1350" w:type="dxa"/>
                  <w:shd w:val="clear" w:color="auto" w:fill="auto"/>
                  <w:vAlign w:val="center"/>
                </w:tcPr>
                <w:p>
                  <w:pP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jc w:val="left"/>
                    <w:rPr>
                      <w:rFonts w:hint="eastAsia" w:ascii="宋体" w:hAnsi="宋体" w:eastAsia="宋体" w:cs="Times New Roman"/>
                      <w:b/>
                      <w:bCs/>
                      <w:kern w:val="2"/>
                      <w:sz w:val="21"/>
                      <w:szCs w:val="21"/>
                      <w:lang w:val="en-US" w:eastAsia="zh-CN" w:bidi="ar-SA"/>
                    </w:rPr>
                  </w:pPr>
                  <w:r>
                    <w:rPr>
                      <w:rFonts w:hint="eastAsia" w:ascii="宋体" w:hAnsi="宋体"/>
                      <w:b/>
                      <w:szCs w:val="21"/>
                    </w:rPr>
                    <w:t>顾客满意度＞9</w:t>
                  </w:r>
                  <w:r>
                    <w:rPr>
                      <w:rFonts w:ascii="宋体" w:hAnsi="宋体"/>
                      <w:b/>
                      <w:szCs w:val="21"/>
                    </w:rPr>
                    <w:t>0</w:t>
                  </w:r>
                  <w:r>
                    <w:rPr>
                      <w:rFonts w:hint="eastAsia" w:ascii="宋体" w:hAnsi="宋体"/>
                      <w:b/>
                      <w:szCs w:val="21"/>
                    </w:rPr>
                    <w:t>分</w:t>
                  </w:r>
                </w:p>
              </w:tc>
              <w:tc>
                <w:tcPr>
                  <w:tcW w:w="3136" w:type="dxa"/>
                  <w:shd w:val="clear" w:color="auto" w:fill="auto"/>
                  <w:vAlign w:val="center"/>
                </w:tcPr>
                <w:p>
                  <w:pPr>
                    <w:jc w:val="left"/>
                    <w:rPr>
                      <w:rFonts w:hint="eastAsia" w:ascii="宋体" w:hAnsi="宋体" w:eastAsia="宋体" w:cs="Times New Roman"/>
                      <w:b/>
                      <w:kern w:val="2"/>
                      <w:sz w:val="21"/>
                      <w:szCs w:val="21"/>
                      <w:lang w:val="en-US" w:eastAsia="zh-CN" w:bidi="ar-SA"/>
                    </w:rPr>
                  </w:pPr>
                  <w:r>
                    <w:rPr>
                      <w:rFonts w:hint="eastAsia" w:ascii="宋体" w:hAnsi="宋体"/>
                      <w:b/>
                      <w:szCs w:val="21"/>
                    </w:rPr>
                    <w:t>满意得分和/总调查数</w:t>
                  </w:r>
                </w:p>
              </w:tc>
              <w:tc>
                <w:tcPr>
                  <w:tcW w:w="1350" w:type="dxa"/>
                  <w:shd w:val="clear" w:color="auto" w:fill="auto"/>
                  <w:vAlign w:val="center"/>
                </w:tcPr>
                <w:p>
                  <w:pPr>
                    <w:jc w:val="lef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市场部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p>
              </w:tc>
              <w:tc>
                <w:tcPr>
                  <w:tcW w:w="3136" w:type="dxa"/>
                  <w:shd w:val="clear" w:color="auto" w:fill="auto"/>
                  <w:vAlign w:val="center"/>
                </w:tcPr>
                <w:p>
                  <w:pPr>
                    <w:shd w:val="clear" w:color="auto" w:fill="C7DAF1" w:themeFill="text2" w:themeFillTint="32"/>
                    <w:rPr>
                      <w:rFonts w:hint="eastAsia" w:ascii="宋体" w:hAnsi="宋体" w:eastAsia="宋体" w:cs="Times New Roman"/>
                    </w:rPr>
                  </w:pPr>
                </w:p>
              </w:tc>
              <w:tc>
                <w:tcPr>
                  <w:tcW w:w="1350" w:type="dxa"/>
                  <w:shd w:val="clear" w:color="auto" w:fill="auto"/>
                  <w:vAlign w:val="center"/>
                </w:tcPr>
                <w:p>
                  <w:pPr>
                    <w:shd w:val="clear" w:color="auto" w:fill="C7DAF1" w:themeFill="text2" w:themeFillTint="32"/>
                    <w:rPr>
                      <w:rFonts w:hint="eastAsia" w:ascii="宋体" w:hAnsi="宋体" w:eastAsia="宋体" w:cs="Times New Roman"/>
                    </w:rPr>
                  </w:pPr>
                </w:p>
              </w:tc>
              <w:tc>
                <w:tcPr>
                  <w:tcW w:w="1774" w:type="dxa"/>
                  <w:shd w:val="clear" w:color="auto" w:fill="auto"/>
                  <w:vAlign w:val="center"/>
                </w:tcPr>
                <w:p>
                  <w:pPr>
                    <w:shd w:val="clear" w:color="auto" w:fill="C7DAF1" w:themeFill="text2" w:themeFillTint="32"/>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highlight w:val="none"/>
              </w:rPr>
            </w:pPr>
            <w:r>
              <w:rPr>
                <w:rFonts w:hint="eastAsia"/>
                <w:highlight w:val="none"/>
              </w:rPr>
              <w:t>组织应确</w:t>
            </w:r>
            <w:r>
              <w:rPr>
                <w:rFonts w:hint="eastAsia" w:ascii="Times New Roman" w:hAnsi="Times New Roman" w:eastAsia="宋体" w:cs="Times New Roman"/>
                <w:highlight w:val="none"/>
              </w:rPr>
              <w:t>定、提供并维护所需的基础设施情况：</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000平方米</w:t>
            </w:r>
            <w:r>
              <w:rPr>
                <w:rFonts w:hint="eastAsia" w:ascii="Times New Roman" w:hAnsi="Times New Roman" w:eastAsia="宋体" w:cs="Times New Roman"/>
                <w:highlight w:val="none"/>
              </w:rPr>
              <w:t xml:space="preserve">；生产车间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C7DAF1" w:themeFill="text2"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主要生产设备有：</w:t>
            </w:r>
            <w:r>
              <w:rPr>
                <w:rFonts w:hint="eastAsia" w:ascii="宋体" w:hAnsi="宋体" w:cs="宋体"/>
                <w:sz w:val="21"/>
                <w:szCs w:val="21"/>
                <w:highlight w:val="none"/>
              </w:rPr>
              <w:t>：焊机、车床、剪板机、折弯机、切割机、砂轮机、行车、养护架、喷淋、振动平台等</w:t>
            </w:r>
            <w:r>
              <w:rPr>
                <w:rFonts w:hint="eastAsia" w:ascii="Times New Roman" w:hAnsi="Times New Roman" w:eastAsia="宋体" w:cs="Times New Roman"/>
                <w:highlight w:val="none"/>
              </w:rPr>
              <w:t>等</w:t>
            </w:r>
            <w:r>
              <w:rPr>
                <w:rFonts w:hint="eastAsia" w:ascii="Times New Roman" w:hAnsi="Times New Roman" w:eastAsia="宋体" w:cs="Times New Roman"/>
                <w:highlight w:val="none"/>
                <w:lang w:eastAsia="zh-CN"/>
              </w:rPr>
              <w:t>及</w:t>
            </w:r>
            <w:r>
              <w:rPr>
                <w:rFonts w:hint="eastAsia" w:ascii="Times New Roman" w:hAnsi="Times New Roman" w:eastAsia="宋体" w:cs="Times New Roman"/>
                <w:highlight w:val="none"/>
              </w:rPr>
              <w:t>办公设备</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不适用  </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特种设备管理：</w:t>
            </w: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 xml:space="preserve">进行了定期检验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未进行定期检验的有：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组织现有基础设施可满足质量管理体系运行；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8"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宋体" w:hAnsi="宋体" w:cs="宋体"/>
                <w:sz w:val="21"/>
                <w:szCs w:val="21"/>
                <w:lang w:val="en-US" w:eastAsia="zh-CN"/>
              </w:rPr>
              <w:t>焊缝检测尺、塞尺、千分尺焊缝磁粉探伤仪</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cs="Times New Roman"/>
                      <w:lang w:val="en-US" w:eastAsia="zh-CN"/>
                    </w:rPr>
                  </w:pPr>
                  <w:r>
                    <w:rPr>
                      <w:sz w:val="20"/>
                    </w:rPr>
                    <w:t>资质范围内钢筋混凝土防护设备、钢结构手动防护设备的生产和阀门的销售</w:t>
                  </w:r>
                </w:p>
              </w:tc>
              <w:tc>
                <w:tcPr>
                  <w:tcW w:w="2687" w:type="dxa"/>
                </w:tcPr>
                <w:p>
                  <w:pPr>
                    <w:shd w:val="clear" w:color="auto" w:fill="C7DAF1" w:themeFill="text2" w:themeFillTint="32"/>
                    <w:jc w:val="left"/>
                    <w:rPr>
                      <w:rFonts w:hint="default" w:ascii="Times New Roman" w:hAnsi="Times New Roman" w:cs="Times New Roman"/>
                      <w:lang w:val="en-US" w:eastAsia="zh-CN"/>
                    </w:rPr>
                  </w:pPr>
                  <w:r>
                    <w:rPr>
                      <w:rFonts w:hint="eastAsia" w:ascii="宋体" w:hAnsi="宋体" w:cs="Times New Roman"/>
                      <w:sz w:val="21"/>
                      <w:szCs w:val="21"/>
                      <w:highlight w:val="none"/>
                      <w:lang w:val="en-US" w:eastAsia="zh-CN"/>
                    </w:rPr>
                    <w:t>焊接过程</w:t>
                  </w:r>
                </w:p>
              </w:tc>
              <w:tc>
                <w:tcPr>
                  <w:tcW w:w="3265" w:type="dxa"/>
                </w:tcPr>
                <w:p>
                  <w:pPr>
                    <w:shd w:val="clear" w:color="auto" w:fill="C7DAF1" w:themeFill="text2" w:themeFillTint="32"/>
                    <w:jc w:val="left"/>
                    <w:rPr>
                      <w:rFonts w:hint="default" w:ascii="Times New Roman" w:hAnsi="Times New Roman" w:cs="Times New Roman"/>
                      <w:lang w:val="en-US" w:eastAsia="zh-CN"/>
                    </w:rPr>
                  </w:pPr>
                  <w:r>
                    <w:rPr>
                      <w:rFonts w:hint="eastAsia" w:cs="Times New Roman"/>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ascii="宋体" w:hAnsi="宋体" w:cs="Times New Roman"/>
                <w:color w:val="000000"/>
                <w:szCs w:val="21"/>
                <w:highlight w:val="none"/>
                <w:lang w:val="en-US" w:eastAsia="zh-CN"/>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52"/>
            </w:r>
            <w:r>
              <w:rPr>
                <w:rFonts w:hint="eastAsia"/>
              </w:rPr>
              <w:t>存在不足，说明</w:t>
            </w:r>
            <w:r>
              <w:rPr>
                <w:rFonts w:hint="eastAsia"/>
                <w:u w:val="single"/>
              </w:rPr>
              <w:t xml:space="preserve">   </w:t>
            </w:r>
            <w:r>
              <w:rPr>
                <w:rFonts w:hint="eastAsia"/>
                <w:u w:val="single"/>
                <w:lang w:val="en-US" w:eastAsia="zh-CN"/>
              </w:rPr>
              <w:t>已开具不符合报告</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A3"/>
            </w:r>
            <w:r>
              <w:rPr>
                <w:rFonts w:hint="eastAsia"/>
              </w:rPr>
              <w:t xml:space="preserve">重要原材料 </w:t>
            </w:r>
            <w:r>
              <w:rPr>
                <w:rFonts w:hint="eastAsia" w:ascii="Wingdings" w:hAnsi="Wingdings"/>
                <w:lang w:eastAsia="zh-CN"/>
              </w:rPr>
              <w:sym w:font="Wingdings 2" w:char="00A3"/>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w:t>
            </w:r>
            <w:r>
              <w:rPr>
                <w:rFonts w:hint="eastAsia" w:ascii="宋体" w:hAnsi="宋体" w:cs="宋体"/>
                <w:color w:val="000000"/>
                <w:szCs w:val="21"/>
                <w:highlight w:val="none"/>
                <w:lang w:eastAsia="zh-CN"/>
              </w:rPr>
              <w:t>2022年3月2日</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lang w:eastAsia="zh-CN"/>
              </w:rPr>
              <w:t>3日</w:t>
            </w:r>
            <w:r>
              <w:rPr>
                <w:rFonts w:hint="eastAsia" w:ascii="宋体" w:hAnsi="宋体" w:cs="宋体"/>
                <w:color w:val="000000"/>
                <w:szCs w:val="24"/>
                <w:lang w:val="en-US" w:eastAsia="zh-CN"/>
              </w:rPr>
              <w:t xml:space="preserve"> </w:t>
            </w:r>
            <w:r>
              <w:rPr>
                <w:rFonts w:hint="eastAsia" w:ascii="Times New Roman" w:hAnsi="Times New Roman" w:eastAsia="宋体" w:cs="Times New Roman"/>
              </w:rPr>
              <w:t>实</w:t>
            </w:r>
            <w:r>
              <w:rPr>
                <w:rFonts w:hint="eastAsia"/>
              </w:rPr>
              <w:t>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ascii="Times New Roman" w:hAnsi="Times New Roman" w:eastAsia="宋体" w:cs="Times New Roman"/>
              </w:rPr>
              <w:t>间间隔，在</w:t>
            </w:r>
            <w:r>
              <w:rPr>
                <w:rFonts w:hint="eastAsia" w:ascii="宋体" w:hAnsi="宋体" w:cs="宋体"/>
                <w:color w:val="000000"/>
                <w:szCs w:val="21"/>
                <w:lang w:eastAsia="zh-CN"/>
              </w:rPr>
              <w:t>2022年3月18日</w:t>
            </w:r>
            <w:r>
              <w:rPr>
                <w:rFonts w:hint="eastAsia" w:ascii="Times New Roman" w:hAnsi="Times New Roman" w:eastAsia="宋体" w:cs="Times New Roman"/>
              </w:rPr>
              <w:t>对组织的质量管理体系进行了评审，以确保其持续的适宜性</w:t>
            </w:r>
            <w:r>
              <w:rPr>
                <w:rFonts w:hint="eastAsia"/>
              </w:rPr>
              <w:t>、充分性和有效性；管理评审输入、输出均按要求提供。并对提出的改进措施进行了落实。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bookmarkStart w:id="34" w:name="_GoBack"/>
      <w:bookmarkEnd w:id="34"/>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6AE7966"/>
    <w:rsid w:val="071C5217"/>
    <w:rsid w:val="079F3388"/>
    <w:rsid w:val="0D714A09"/>
    <w:rsid w:val="157D1577"/>
    <w:rsid w:val="18550589"/>
    <w:rsid w:val="196F65F9"/>
    <w:rsid w:val="1CA4388D"/>
    <w:rsid w:val="1F953961"/>
    <w:rsid w:val="241A2687"/>
    <w:rsid w:val="28C74702"/>
    <w:rsid w:val="28E8307F"/>
    <w:rsid w:val="30562C99"/>
    <w:rsid w:val="32423A55"/>
    <w:rsid w:val="35EE629E"/>
    <w:rsid w:val="36A91D74"/>
    <w:rsid w:val="379530C6"/>
    <w:rsid w:val="3DA0320E"/>
    <w:rsid w:val="40944855"/>
    <w:rsid w:val="44EC107E"/>
    <w:rsid w:val="463158E2"/>
    <w:rsid w:val="4C6E3E4A"/>
    <w:rsid w:val="4EC76DE4"/>
    <w:rsid w:val="57CE2F91"/>
    <w:rsid w:val="5F592854"/>
    <w:rsid w:val="5F5C5326"/>
    <w:rsid w:val="60EA2EFB"/>
    <w:rsid w:val="611D6D37"/>
    <w:rsid w:val="616A3388"/>
    <w:rsid w:val="61E0223F"/>
    <w:rsid w:val="637D1D0F"/>
    <w:rsid w:val="6B67752D"/>
    <w:rsid w:val="6BF1329A"/>
    <w:rsid w:val="6ECF78C3"/>
    <w:rsid w:val="74D06143"/>
    <w:rsid w:val="75057917"/>
    <w:rsid w:val="77297D8C"/>
    <w:rsid w:val="77CA50CB"/>
    <w:rsid w:val="7FEE1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8185</Words>
  <Characters>8762</Characters>
  <Lines>150</Lines>
  <Paragraphs>42</Paragraphs>
  <TotalTime>2</TotalTime>
  <ScaleCrop>false</ScaleCrop>
  <LinksUpToDate>false</LinksUpToDate>
  <CharactersWithSpaces>9696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2022-08-22T08:25:25Z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