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尹治中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sz w:val="24"/>
                <w:lang w:val="en-US" w:eastAsia="zh-CN"/>
              </w:rPr>
              <w:t>余远海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审核日期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2022-08-20日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审核条款：Q</w:t>
            </w:r>
            <w:r>
              <w:t>MS:</w:t>
            </w:r>
            <w:r>
              <w:rPr>
                <w:rFonts w:hint="eastAsia"/>
              </w:rPr>
              <w:t>5</w:t>
            </w:r>
            <w:r>
              <w:t>.3</w:t>
            </w:r>
            <w:r>
              <w:rPr>
                <w:rFonts w:hint="eastAsia"/>
              </w:rPr>
              <w:t>/</w:t>
            </w:r>
            <w:r>
              <w:t>6.2</w:t>
            </w:r>
            <w:r>
              <w:rPr>
                <w:rFonts w:hint="eastAsia"/>
              </w:rPr>
              <w:t>/8.4</w:t>
            </w:r>
          </w:p>
          <w:p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E:5.3/6.1.2/6.1.4/8.1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O:5.3/6.1.2/6.1.4/8.1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组织的岗位、职责和权限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Q5.3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highlight w:val="none"/>
              </w:rPr>
              <w:t>5.3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O5.3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0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采购部主要负责供方的管理、采购计划的安排以及实施采购、采购过程所涉及的环境因素、职业健康危险源的识别及控制，参加公司组织的应急演练、内审、管评等工作。</w:t>
            </w:r>
          </w:p>
          <w:p>
            <w:pPr>
              <w:pStyle w:val="1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询问审核周期内本部门职责未发生变化。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O6.2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《目标、指标和管理方案实施情况监控记录》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szCs w:val="24"/>
                <w:highlight w:val="none"/>
              </w:rPr>
              <w:t>目标而建立的各层级目标具体、有针对性、可测量并且可实现。</w:t>
            </w:r>
          </w:p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本部门分解目标实现情况的评价，及其测量方法是：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371"/>
              <w:gridCol w:w="1027"/>
              <w:gridCol w:w="23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337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计算方法</w:t>
                  </w:r>
                  <w:bookmarkStart w:id="1" w:name="_GoBack"/>
                  <w:bookmarkEnd w:id="1"/>
                </w:p>
              </w:tc>
              <w:tc>
                <w:tcPr>
                  <w:tcW w:w="102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eastAsia"/>
                      <w:szCs w:val="24"/>
                      <w:highlight w:val="none"/>
                    </w:rPr>
                    <w:t>（2</w:t>
                  </w:r>
                  <w:r>
                    <w:rPr>
                      <w:szCs w:val="24"/>
                      <w:highlight w:val="none"/>
                    </w:rPr>
                    <w:t>02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1年度-2022年1、2季度</w:t>
                  </w:r>
                  <w:r>
                    <w:rPr>
                      <w:rFonts w:hint="eastAsia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建立供方档案，对影响环境的供方施加影响</w:t>
                  </w:r>
                </w:p>
              </w:tc>
              <w:tc>
                <w:tcPr>
                  <w:tcW w:w="337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建立供方档案，对供方环保宣传率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≥99%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采购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物资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100%符合要求，外购产品健康安全合格率100%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val="en-US" w:eastAsia="zh-CN"/>
                    </w:rPr>
                    <w:t>100%富恶化要求，</w:t>
                  </w: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eastAsia="zh-CN"/>
                    </w:rPr>
                    <w:t>采购产品健康安全合格率</w:t>
                  </w: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  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eastAsia="zh-CN"/>
                    </w:rPr>
                    <w:t>无</w:t>
                  </w: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</w:rPr>
                    <w:t>火灾事故发生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eastAsia="zh-CN"/>
                    </w:rPr>
                    <w:t>火灾事故发生率为</w:t>
                  </w: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02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采购产品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准时到货率≥9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未明确计算方法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采购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产品合格率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99%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未明确计算方法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szCs w:val="24"/>
                <w:highlight w:val="none"/>
              </w:rPr>
            </w:pPr>
            <w:r>
              <w:rPr>
                <w:szCs w:val="24"/>
                <w:highlight w:val="none"/>
              </w:rPr>
              <w:fldChar w:fldCharType="begin"/>
            </w:r>
            <w:r>
              <w:rPr>
                <w:szCs w:val="24"/>
                <w:highlight w:val="none"/>
              </w:rPr>
              <w:instrText xml:space="preserve"> </w:instrText>
            </w:r>
            <w:r>
              <w:rPr>
                <w:rFonts w:hint="eastAsia"/>
                <w:szCs w:val="24"/>
                <w:highlight w:val="none"/>
              </w:rPr>
              <w:instrText xml:space="preserve">eq \o\ac(□,√)</w:instrText>
            </w:r>
            <w:r>
              <w:rPr>
                <w:szCs w:val="24"/>
                <w:highlight w:val="none"/>
              </w:rPr>
              <w:fldChar w:fldCharType="end"/>
            </w:r>
            <w:r>
              <w:rPr>
                <w:rFonts w:hint="eastAsia"/>
                <w:szCs w:val="24"/>
                <w:highlight w:val="none"/>
              </w:rPr>
              <w:t>目标已实现</w:t>
            </w:r>
          </w:p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Cs w:val="24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 </w:t>
            </w:r>
          </w:p>
          <w:p>
            <w:pPr>
              <w:pStyle w:val="1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E8.1</w:t>
            </w:r>
          </w:p>
          <w:p>
            <w:pPr>
              <w:pStyle w:val="13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O8.1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93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9080071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外部提供的过程、产品和服务包括：</w:t>
            </w:r>
          </w:p>
          <w:p>
            <w:pPr>
              <w:ind w:left="210" w:left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原材料采购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产品的设计和开发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产品检测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某加工工序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部分产品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工装订制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设备维修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运输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售后服务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不合格品处置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顾客满意调查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办公用品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bookmarkEnd w:id="0"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</w:t>
            </w:r>
            <w:r>
              <w:rPr>
                <w:rFonts w:hint="eastAsia"/>
                <w:lang w:val="en-US" w:eastAsia="zh-CN"/>
              </w:rPr>
              <w:t>与重要环境因素、职业健康安全风险有关的</w:t>
            </w:r>
            <w:r>
              <w:rPr>
                <w:rFonts w:hint="eastAsia"/>
              </w:rPr>
              <w:t>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危化品采购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某加工工序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其他——主要是疫情防控常规产品，如洗手液、消毒液等</w:t>
            </w:r>
          </w:p>
          <w:p>
            <w:pPr>
              <w:pStyle w:val="13"/>
            </w:pPr>
          </w:p>
          <w:p>
            <w:pPr>
              <w:ind w:left="210" w:leftChars="1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目前企业无外包过程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配送粮食时在当地寻找本地车辆进行送货，基本已合作多年，询问2021年下半年送粮食车辆，为司机交意外险，并且与司机约定，车辆只允许盛装粮食，每次装车间均进行检查，检查合格后方可装车。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不涉及新供方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抽查外部供方的评价记录名称：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《合格供方名单 》 </w:t>
            </w:r>
            <w:r>
              <w:rPr>
                <w:rFonts w:hint="eastAsia"/>
                <w:highlight w:val="none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highlight w:val="none"/>
                <w:u w:val="single"/>
              </w:rPr>
              <w:t>家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未将运输车辆服务方列入合格供方，已与企业沟通。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达州市中贸粮油有限公司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高粱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915117002102514577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</w:t>
                  </w:r>
                  <w:r>
                    <w:rPr>
                      <w:highlight w:val="none"/>
                    </w:rPr>
                    <w:t>品经营许可证</w:t>
                  </w:r>
                  <w:r>
                    <w:rPr>
                      <w:rFonts w:hint="eastAsia"/>
                      <w:highlight w:val="none"/>
                    </w:rPr>
                    <w:t>》编号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：         （适用时）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有效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散装高粱：</w:t>
                  </w:r>
                  <w:r>
                    <w:rPr>
                      <w:rFonts w:hint="eastAsia"/>
                      <w:highlight w:val="none"/>
                    </w:rPr>
                    <w:t>检测报告编号</w:t>
                  </w:r>
                  <w:r>
                    <w:rPr>
                      <w:rFonts w:hint="eastAsia" w:asciiTheme="minorEastAsia" w:hAnsiTheme="minorEastAsia" w:eastAsiaTheme="minorEastAsia" w:cstheme="minorEastAsia"/>
                      <w:lang w:val="en-US" w:eastAsia="zh-CN"/>
                    </w:rPr>
                    <w:t>ZARE20210907368</w:t>
                  </w:r>
                  <w:r>
                    <w:rPr>
                      <w:rFonts w:hint="eastAsia"/>
                      <w:highlight w:val="none"/>
                    </w:rPr>
                    <w:t>；检测项目：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铅、镉、铬、敌敌畏、甲基对硫磷等，报告日期：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2021-</w:t>
                  </w:r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  <w:lang w:val="en-US" w:eastAsia="zh-CN"/>
                    </w:rPr>
                    <w:t>09-19日</w:t>
                  </w:r>
                  <w:r>
                    <w:rPr>
                      <w:rFonts w:hint="eastAsia"/>
                      <w:highlight w:val="none"/>
                    </w:rPr>
                    <w:t>；检测单位：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四川省中安检测有限公司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结论：检测项目合格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符合合格供方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</w:t>
                  </w:r>
                </w:p>
              </w:tc>
            </w:tr>
          </w:tbl>
          <w:p/>
          <w:p>
            <w:pPr>
              <w:pStyle w:val="8"/>
              <w:rPr>
                <w:szCs w:val="20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重庆市瑞和粮油有限公司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预包装食品（大米、糯米）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91500107MA5YN4AB70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JY15001070125690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其他：——检验检测报告：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大米检测报告编号：SPFZ2022-03-0010,检测项目：水分含量、杂质、汞、铅、六六六、滴滴涕、黄曲霉毒素B1等，检测单位：鸡西市精工丰华检验检测服务有限公司；检测结论：检测项目符合要求，报告日期：2022-03-14日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射阳大米（粳米）报告编号：YC2022MS0002 ,检测项目：水分含量、杂质、汞、铅、六六六、滴滴涕、黄曲霉毒素B1等，检测单位：盐城市食品药品监督检验中心；检测结论：检测项目符合要求，报告日期：2022-02-14日。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8"/>
              <w:rPr>
                <w:szCs w:val="20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湖北兴丰杰粮油有限责任公司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eastAsia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7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91420600MA495UXK5A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菜籽油报告编号：SR22050098，报告日期：2022-05-16日，检测单位：遵义市精科信检测有限公司，检测项目：气味、滋味、溶剂残留量、总砷、铅、黄曲霉毒素B1等，检测结论：检测项目符合要求，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p>
            <w:pPr>
              <w:shd w:val="clear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手部洗手液、手部凝胶消毒液、口罩等</w:t>
            </w:r>
            <w:r>
              <w:rPr>
                <w:rFonts w:hint="eastAsia"/>
                <w:u w:val="single"/>
              </w:rPr>
              <w:t>从</w:t>
            </w:r>
            <w:r>
              <w:rPr>
                <w:rFonts w:hint="eastAsia"/>
                <w:u w:val="single"/>
                <w:lang w:val="en-US" w:eastAsia="zh-CN"/>
              </w:rPr>
              <w:t>附近</w:t>
            </w:r>
            <w:r>
              <w:rPr>
                <w:rFonts w:hint="eastAsia"/>
                <w:u w:val="single"/>
              </w:rPr>
              <w:t>正规超市</w:t>
            </w:r>
            <w:r>
              <w:rPr>
                <w:rFonts w:hint="eastAsia"/>
                <w:u w:val="single"/>
                <w:lang w:val="en-US" w:eastAsia="zh-CN"/>
              </w:rPr>
              <w:t>或者药店</w:t>
            </w:r>
            <w:r>
              <w:rPr>
                <w:rFonts w:hint="eastAsia"/>
                <w:u w:val="single"/>
              </w:rPr>
              <w:t>购买。</w:t>
            </w:r>
            <w:r>
              <w:rPr>
                <w:rFonts w:hint="eastAsia"/>
                <w:u w:val="single"/>
                <w:lang w:val="en-US" w:eastAsia="zh-CN"/>
              </w:rPr>
              <w:t>先买先用，未保留小票等凭证，已与企业沟通。</w:t>
            </w:r>
          </w:p>
          <w:p>
            <w:pPr>
              <w:rPr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同时还抽查了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DDD有限公司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EEE有限公司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与上述供方评价和选择控制情况。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strike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8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在生产现场和库房确认有是否有是从非合格供方处采购的材料。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没有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有，说明：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8" w:hRule="atLeast"/>
        </w:trPr>
        <w:tc>
          <w:tcPr>
            <w:tcW w:w="2160" w:type="dxa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960" w:type="dxa"/>
          </w:tcPr>
          <w:p>
            <w:pPr>
              <w:rPr>
                <w:color w:val="FF0000"/>
                <w:highlight w:val="yellow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在门卫确认是否存在未收集运送危化品（货物）车辆的相关材料。——不涉及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查看车辆检查记录：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抽查车辆，车牌号：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strike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驾驶员许可证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押运员许可证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车况（含泄露）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>防静电（接地链）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没有   </w:t>
            </w:r>
            <w:r>
              <w:rPr>
                <w:rFonts w:hint="eastAsia"/>
                <w:strike/>
                <w:dstrike w:val="0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lang w:val="en-US" w:eastAsia="zh-CN"/>
              </w:rPr>
              <w:t xml:space="preserve">有，说明： 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</w:tcPr>
          <w:p>
            <w:pPr>
              <w:rPr>
                <w:rFonts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控制类型和程度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Q8.4.2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142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对供方控制的类型和程度要求：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highlight w:val="none"/>
                <w:u w:val="single"/>
                <w:shd w:val="pct10" w:color="auto" w:fill="FFFFFF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《供方评定记录表》，</w:t>
            </w:r>
            <w:r>
              <w:rPr>
                <w:rFonts w:hint="eastAsia"/>
                <w:highlight w:val="none"/>
                <w:u w:val="single"/>
              </w:rPr>
              <w:t>另外，抽查：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达州市中贸粮油有限公司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散装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高粱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rPr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湖北兴丰杰粮油有限责任公司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ind w:left="0" w:leftChars="0" w:firstLine="0" w:firstLineChars="0"/>
              <w:rPr>
                <w:rFonts w:hint="eastAsia" w:eastAsia="宋体"/>
                <w:u w:val="singl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default"/>
                <w:u w:val="none"/>
                <w:lang w:val="en-US"/>
              </w:rPr>
            </w:pPr>
            <w:r>
              <w:rPr>
                <w:rFonts w:hint="eastAsia"/>
                <w:u w:val="none"/>
                <w:lang w:val="en-US" w:eastAsia="zh-CN"/>
              </w:rPr>
              <w:t>同时抽查</w:t>
            </w:r>
            <w:r>
              <w:rPr>
                <w:rFonts w:hint="eastAsia"/>
                <w:u w:val="single"/>
                <w:lang w:val="en-US" w:eastAsia="zh-CN"/>
              </w:rPr>
              <w:t>玉米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黄骅市昌伟种植专业合作社，</w:t>
            </w:r>
            <w:r>
              <w:rPr>
                <w:rFonts w:hint="eastAsia" w:eastAsia="宋体"/>
                <w:u w:val="single"/>
                <w:lang w:val="en-US" w:eastAsia="zh-CN"/>
              </w:rPr>
              <w:t>预包装食品（大米、糯米）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重庆市瑞和粮油有限公司，与上述供方选择及评价一致，</w:t>
            </w:r>
            <w:r>
              <w:rPr>
                <w:rFonts w:hint="eastAsia"/>
                <w:u w:val="none"/>
              </w:rPr>
              <w:sym w:font="Wingdings" w:char="00FE"/>
            </w:r>
            <w:r>
              <w:rPr>
                <w:rFonts w:hint="eastAsia"/>
                <w:u w:val="none"/>
                <w:lang w:val="en-US" w:eastAsia="zh-CN"/>
              </w:rPr>
              <w:t xml:space="preserve">有效 </w:t>
            </w:r>
            <w:r>
              <w:rPr>
                <w:rFonts w:hint="eastAsia"/>
                <w:u w:val="none"/>
              </w:rPr>
              <w:sym w:font="Wingdings" w:char="00A8"/>
            </w:r>
            <w:r>
              <w:rPr>
                <w:rFonts w:hint="eastAsia"/>
                <w:u w:val="none"/>
                <w:lang w:val="en-US" w:eastAsia="zh-CN"/>
              </w:rPr>
              <w:t>无效</w:t>
            </w:r>
          </w:p>
          <w:p>
            <w:pPr>
              <w:pStyle w:val="13"/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Q8.4.3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6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在与外部供方沟通之前，所确定的要求是：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充分适宜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不充分适宜，说明： 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pStyle w:val="13"/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《采购合同》及《采购计划》。组织与外部供方沟通以下要求：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9"/>
              <w:gridCol w:w="2264"/>
              <w:gridCol w:w="1808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采购订单号/日期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年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日</w:t>
                  </w:r>
                </w:p>
              </w:tc>
              <w:tc>
                <w:tcPr>
                  <w:tcW w:w="2032" w:type="dxa"/>
                </w:tcPr>
                <w:p>
                  <w:pPr>
                    <w:ind w:firstLine="630" w:firstLineChars="300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过程、产品和服务名称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糯小高粱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菜籽油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过程、产品和服务要求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客户标准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符合产品标准要求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产品和服务批准； 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总经理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总经理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方法、过程和设备的批准；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产品和服务的放行的批准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销售部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能力，包括所要求的人员资格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外部供方与组织的互动；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交货地点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运输送货等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组织使用的外部供方绩效的控制和监视；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不涉及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《环境因素识别与评价控制程序》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color w:val="000000"/>
                <w:highlight w:val="none"/>
                <w:u w:val="single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</w:rPr>
              <w:t>《环境因素识别、评价、控制表》、</w:t>
            </w:r>
            <w:r>
              <w:rPr>
                <w:color w:val="000000"/>
                <w:highlight w:val="none"/>
                <w:u w:val="single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</w:rPr>
              <w:t>《重要环境因素清单》</w:t>
            </w: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</w:t>
            </w:r>
            <w:r>
              <w:rPr>
                <w:rFonts w:hint="eastAsia"/>
                <w:b/>
                <w:bCs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highlight w:val="none"/>
              </w:rPr>
              <w:t>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2181"/>
              <w:gridCol w:w="5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6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52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紧急</w:t>
                  </w:r>
                </w:p>
              </w:tc>
              <w:tc>
                <w:tcPr>
                  <w:tcW w:w="5236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管理方案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执行《清洁与废弃物管理规定》和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固体废弃物分类管理方案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，固体废弃物应分类存放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生活垃圾类由环卫/街道管理，散装粮食装卸产生的秸秆等固体废弃物销售给农户做饲料或肥料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潜在火灾的发生</w:t>
                  </w: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52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  <w:t>运行控制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  <w:t>《应急准备和响应控制程序》，《应急响应预案》，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523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5236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O6.1.2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</w:t>
            </w:r>
            <w:r>
              <w:rPr>
                <w:szCs w:val="21"/>
                <w:highlight w:val="none"/>
              </w:rPr>
              <w:t xml:space="preserve">6.1 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《危险源识别和控制程序》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</w:t>
            </w:r>
            <w:r>
              <w:rPr>
                <w:rFonts w:hint="eastAsia"/>
                <w:b/>
                <w:bCs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</w:rPr>
              <w:t>措施是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本部门的主要危险源包括：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物体打击  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高空落物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高空坠落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车辆撞人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化学伤害：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食物中毒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灼烧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粉尘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窒息（受限空间）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冷热伤害：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烫伤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中暑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风险很低）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冻伤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电的伤害：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触电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雷击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火灾伤害：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爆炸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灼烧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声音伤害：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噪声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评价不可接受风险的准则：《</w:t>
            </w:r>
            <w:r>
              <w:rPr>
                <w:rFonts w:hint="eastAsia"/>
                <w:szCs w:val="22"/>
                <w:highlight w:val="none"/>
              </w:rPr>
              <w:t>危险源辨识和风险评价控制程序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u w:val="single"/>
              </w:rPr>
              <w:t xml:space="preserve">LEC法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重要危险源，及其控制措施是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9"/>
              <w:tblW w:w="91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0"/>
              <w:gridCol w:w="2434"/>
              <w:gridCol w:w="4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  <w:lang w:val="en-US" w:eastAsia="zh-CN"/>
                    </w:rPr>
                    <w:t>不可接受</w:t>
                  </w:r>
                  <w:r>
                    <w:rPr>
                      <w:rFonts w:hint="eastAsia"/>
                      <w:b/>
                      <w:bCs/>
                      <w:highlight w:val="none"/>
                    </w:rPr>
                    <w:t>危险源</w:t>
                  </w:r>
                </w:p>
              </w:tc>
              <w:tc>
                <w:tcPr>
                  <w:tcW w:w="24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烧伤、财产损失</w:t>
                  </w: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配备灭火设备和消防栓，制定制度及培训，定时检查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电线老化、电器故障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导致的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财产损失</w:t>
                  </w: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定期进行安全培训，定期检查设备实施线路及安全使用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  <w:tc>
                <w:tcPr>
                  <w:tcW w:w="4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环境因素调查表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4"/>
              <w:gridCol w:w="1537"/>
              <w:gridCol w:w="4019"/>
              <w:gridCol w:w="1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401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管理方案</w:t>
                  </w:r>
                </w:p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执行《清洁与废弃物管理规定》和《固体废弃物分类管理方案》，固体废弃物应分类存放，生活垃圾类由环卫/街道管理，散装粮食装卸产生的秸秆等固体废弃物销售给农户做饲料或肥料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要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危险源</w:t>
                  </w: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配备灭火设备和消防栓，制定制度及培训，定时检查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电线老化、电器故障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导致的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要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危险源</w:t>
                  </w: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定期进行安全培训，定期检查设备实施线路及安全使用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37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3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提供有《公司环境目标、指标和管理方案完成情况监控记录》、《公司职业健康目标、指标和管理方案完成情况监控记录》，显示已按照策划进行实施，检查人：倪**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《固体废弃物管理制度》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将墨盒、硒鼓，交办公室统一管理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陪同参观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疫情防控扫健康码报备</w:t>
            </w: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外出人员的安全管理：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进行安全教育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7.消防的管理：主要由办公室负责，具体见“办公室审核记录”</w:t>
            </w:r>
          </w:p>
          <w:p>
            <w:pPr>
              <w:pStyle w:val="13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 环境和安全对顾客的影响：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签订EHS协议/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环境和安全告知书/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安全告知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25" w:after="25"/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</w:tbl>
    <w:p>
      <w:pPr>
        <w:rPr>
          <w:color w:val="FF0000"/>
        </w:rPr>
      </w:pPr>
    </w:p>
    <w:p/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-57785</wp:posOffset>
          </wp:positionV>
          <wp:extent cx="472440" cy="475615"/>
          <wp:effectExtent l="0" t="0" r="1016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6B206"/>
    <w:multiLevelType w:val="singleLevel"/>
    <w:tmpl w:val="F976B20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121F3D"/>
    <w:multiLevelType w:val="singleLevel"/>
    <w:tmpl w:val="26121F3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E92F15"/>
    <w:multiLevelType w:val="singleLevel"/>
    <w:tmpl w:val="7FE92F1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42CA3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8735D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5715AC"/>
    <w:rsid w:val="056577F0"/>
    <w:rsid w:val="05705C5F"/>
    <w:rsid w:val="0571467E"/>
    <w:rsid w:val="057753FF"/>
    <w:rsid w:val="05A05014"/>
    <w:rsid w:val="05C333A2"/>
    <w:rsid w:val="05F6270F"/>
    <w:rsid w:val="0605101B"/>
    <w:rsid w:val="061B4460"/>
    <w:rsid w:val="067B702D"/>
    <w:rsid w:val="06994A8D"/>
    <w:rsid w:val="06AA7E97"/>
    <w:rsid w:val="06C27317"/>
    <w:rsid w:val="06EC4BBF"/>
    <w:rsid w:val="06ED612A"/>
    <w:rsid w:val="077A0611"/>
    <w:rsid w:val="08767210"/>
    <w:rsid w:val="08851DD7"/>
    <w:rsid w:val="089D1CE9"/>
    <w:rsid w:val="08C22483"/>
    <w:rsid w:val="08ED1EE8"/>
    <w:rsid w:val="08F167F0"/>
    <w:rsid w:val="09005957"/>
    <w:rsid w:val="096333C5"/>
    <w:rsid w:val="0973611D"/>
    <w:rsid w:val="09933EF9"/>
    <w:rsid w:val="09AA0CA5"/>
    <w:rsid w:val="09B73CED"/>
    <w:rsid w:val="09FA6045"/>
    <w:rsid w:val="0A0F142E"/>
    <w:rsid w:val="0A1C56C1"/>
    <w:rsid w:val="0A904067"/>
    <w:rsid w:val="0ACA6ED2"/>
    <w:rsid w:val="0AEF4D8D"/>
    <w:rsid w:val="0B515EEB"/>
    <w:rsid w:val="0BBC6DF9"/>
    <w:rsid w:val="0BE64DFF"/>
    <w:rsid w:val="0C4B4D60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A86D9F"/>
    <w:rsid w:val="0FC433E3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1C7253"/>
    <w:rsid w:val="11536201"/>
    <w:rsid w:val="115D3DB9"/>
    <w:rsid w:val="11BD2BE2"/>
    <w:rsid w:val="11BE2038"/>
    <w:rsid w:val="11DC0AC4"/>
    <w:rsid w:val="11E2439D"/>
    <w:rsid w:val="120225CC"/>
    <w:rsid w:val="123868DF"/>
    <w:rsid w:val="12563B2D"/>
    <w:rsid w:val="12A2571D"/>
    <w:rsid w:val="12A42EA7"/>
    <w:rsid w:val="12A506D3"/>
    <w:rsid w:val="12AF5238"/>
    <w:rsid w:val="12DF025B"/>
    <w:rsid w:val="13296CDD"/>
    <w:rsid w:val="134E7573"/>
    <w:rsid w:val="13890C2B"/>
    <w:rsid w:val="13A420AC"/>
    <w:rsid w:val="13C11723"/>
    <w:rsid w:val="13C13915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2B4B2F"/>
    <w:rsid w:val="16583F2B"/>
    <w:rsid w:val="169D3E09"/>
    <w:rsid w:val="16AB3CAD"/>
    <w:rsid w:val="16C05885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6A6524"/>
    <w:rsid w:val="186F767B"/>
    <w:rsid w:val="187F0353"/>
    <w:rsid w:val="188852B3"/>
    <w:rsid w:val="188B6DDD"/>
    <w:rsid w:val="18E725C6"/>
    <w:rsid w:val="18FB3FC3"/>
    <w:rsid w:val="190766A3"/>
    <w:rsid w:val="19360F64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2F538D"/>
    <w:rsid w:val="1A546A4C"/>
    <w:rsid w:val="1A6C3FF9"/>
    <w:rsid w:val="1AAF33A8"/>
    <w:rsid w:val="1AB42370"/>
    <w:rsid w:val="1ACF1254"/>
    <w:rsid w:val="1AED5B63"/>
    <w:rsid w:val="1AF42899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AF4E64"/>
    <w:rsid w:val="1EF77273"/>
    <w:rsid w:val="1F1B65D5"/>
    <w:rsid w:val="1F35289F"/>
    <w:rsid w:val="1F4E73A5"/>
    <w:rsid w:val="1F8E0A45"/>
    <w:rsid w:val="1FAB395F"/>
    <w:rsid w:val="1FB8538A"/>
    <w:rsid w:val="1FD22EF6"/>
    <w:rsid w:val="1FF16224"/>
    <w:rsid w:val="201572E0"/>
    <w:rsid w:val="20272451"/>
    <w:rsid w:val="203255D2"/>
    <w:rsid w:val="20403C64"/>
    <w:rsid w:val="205905F2"/>
    <w:rsid w:val="205B3801"/>
    <w:rsid w:val="207644C2"/>
    <w:rsid w:val="208D0BCB"/>
    <w:rsid w:val="20A856C1"/>
    <w:rsid w:val="21A07B88"/>
    <w:rsid w:val="21D24208"/>
    <w:rsid w:val="226B2F60"/>
    <w:rsid w:val="22813299"/>
    <w:rsid w:val="229D603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BA397F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544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64387"/>
    <w:rsid w:val="2BEA3FA7"/>
    <w:rsid w:val="2BFD6446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F313B3"/>
    <w:rsid w:val="320B180B"/>
    <w:rsid w:val="323872D4"/>
    <w:rsid w:val="324E5138"/>
    <w:rsid w:val="331E21CE"/>
    <w:rsid w:val="33562A0D"/>
    <w:rsid w:val="33715F28"/>
    <w:rsid w:val="33F07155"/>
    <w:rsid w:val="340C6245"/>
    <w:rsid w:val="343C4522"/>
    <w:rsid w:val="347A0336"/>
    <w:rsid w:val="34AC6049"/>
    <w:rsid w:val="34F92D63"/>
    <w:rsid w:val="350809D2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E700B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AFD61EB"/>
    <w:rsid w:val="3B227AA7"/>
    <w:rsid w:val="3B4241C0"/>
    <w:rsid w:val="3B5F0280"/>
    <w:rsid w:val="3BEE1D6F"/>
    <w:rsid w:val="3BF1473C"/>
    <w:rsid w:val="3C9D1E49"/>
    <w:rsid w:val="3CA475E5"/>
    <w:rsid w:val="3CA717F2"/>
    <w:rsid w:val="3CC56579"/>
    <w:rsid w:val="3CD175CA"/>
    <w:rsid w:val="3D0E6267"/>
    <w:rsid w:val="3DAB460B"/>
    <w:rsid w:val="3DDA7DB2"/>
    <w:rsid w:val="3E342793"/>
    <w:rsid w:val="3E3C5235"/>
    <w:rsid w:val="3EA34B57"/>
    <w:rsid w:val="3EEF1E6E"/>
    <w:rsid w:val="3F0269A8"/>
    <w:rsid w:val="3F654598"/>
    <w:rsid w:val="3F8C1A5E"/>
    <w:rsid w:val="40571F31"/>
    <w:rsid w:val="40760623"/>
    <w:rsid w:val="408B7234"/>
    <w:rsid w:val="40A82F90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9C22A5"/>
    <w:rsid w:val="432A5E11"/>
    <w:rsid w:val="433B1167"/>
    <w:rsid w:val="435F500F"/>
    <w:rsid w:val="43C730CD"/>
    <w:rsid w:val="44043CC6"/>
    <w:rsid w:val="44A567F5"/>
    <w:rsid w:val="45173A63"/>
    <w:rsid w:val="45372E44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E07C2"/>
    <w:rsid w:val="46EA7997"/>
    <w:rsid w:val="470243E7"/>
    <w:rsid w:val="471F1498"/>
    <w:rsid w:val="47271944"/>
    <w:rsid w:val="475C4BFE"/>
    <w:rsid w:val="47BB044C"/>
    <w:rsid w:val="48262DE5"/>
    <w:rsid w:val="48902321"/>
    <w:rsid w:val="48CA74F7"/>
    <w:rsid w:val="49C0281D"/>
    <w:rsid w:val="49E449BF"/>
    <w:rsid w:val="49EC77B8"/>
    <w:rsid w:val="49ED5B1C"/>
    <w:rsid w:val="4AA56755"/>
    <w:rsid w:val="4AB22572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4601B"/>
    <w:rsid w:val="4C2C100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52F1B"/>
    <w:rsid w:val="4F594843"/>
    <w:rsid w:val="4F7F49F1"/>
    <w:rsid w:val="503C3BCC"/>
    <w:rsid w:val="504A1F62"/>
    <w:rsid w:val="505C4971"/>
    <w:rsid w:val="50795634"/>
    <w:rsid w:val="508C4A05"/>
    <w:rsid w:val="50B91BA6"/>
    <w:rsid w:val="50C41CF1"/>
    <w:rsid w:val="51217DA6"/>
    <w:rsid w:val="51294703"/>
    <w:rsid w:val="513B7A32"/>
    <w:rsid w:val="51425A27"/>
    <w:rsid w:val="5158757E"/>
    <w:rsid w:val="51795AD5"/>
    <w:rsid w:val="51DD0128"/>
    <w:rsid w:val="521A5D1E"/>
    <w:rsid w:val="523624DE"/>
    <w:rsid w:val="52A23F56"/>
    <w:rsid w:val="52BA5471"/>
    <w:rsid w:val="52CF56D4"/>
    <w:rsid w:val="52D871F4"/>
    <w:rsid w:val="52F263D6"/>
    <w:rsid w:val="53024EB7"/>
    <w:rsid w:val="53261795"/>
    <w:rsid w:val="53953BE7"/>
    <w:rsid w:val="53F51637"/>
    <w:rsid w:val="54124FEF"/>
    <w:rsid w:val="541C4B67"/>
    <w:rsid w:val="543F11CA"/>
    <w:rsid w:val="54C53740"/>
    <w:rsid w:val="552A2893"/>
    <w:rsid w:val="556B045B"/>
    <w:rsid w:val="557D4E77"/>
    <w:rsid w:val="558570B1"/>
    <w:rsid w:val="558D4F56"/>
    <w:rsid w:val="55C375DD"/>
    <w:rsid w:val="56156439"/>
    <w:rsid w:val="56524F2E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93D5C"/>
    <w:rsid w:val="580F191D"/>
    <w:rsid w:val="58276F84"/>
    <w:rsid w:val="582E1FB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A68C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0E2E76"/>
    <w:rsid w:val="5E264AF8"/>
    <w:rsid w:val="5E3B413F"/>
    <w:rsid w:val="5E756870"/>
    <w:rsid w:val="5E971B73"/>
    <w:rsid w:val="5EA12B9A"/>
    <w:rsid w:val="5EB61B43"/>
    <w:rsid w:val="5EBA7075"/>
    <w:rsid w:val="5EBF5DC8"/>
    <w:rsid w:val="5EDD2156"/>
    <w:rsid w:val="5F02275D"/>
    <w:rsid w:val="5F14059B"/>
    <w:rsid w:val="5F291E1B"/>
    <w:rsid w:val="5F2E30BD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0DD5FF3"/>
    <w:rsid w:val="60FC5507"/>
    <w:rsid w:val="61326FB1"/>
    <w:rsid w:val="61384C31"/>
    <w:rsid w:val="613865C3"/>
    <w:rsid w:val="61E77A7E"/>
    <w:rsid w:val="622A4138"/>
    <w:rsid w:val="62385483"/>
    <w:rsid w:val="62385A6C"/>
    <w:rsid w:val="625C0C90"/>
    <w:rsid w:val="62876D77"/>
    <w:rsid w:val="62CA4AF4"/>
    <w:rsid w:val="62E4371E"/>
    <w:rsid w:val="632045D1"/>
    <w:rsid w:val="6342544F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93B9C"/>
    <w:rsid w:val="6564021D"/>
    <w:rsid w:val="65662197"/>
    <w:rsid w:val="658C79F9"/>
    <w:rsid w:val="65A33DF6"/>
    <w:rsid w:val="65BE04E1"/>
    <w:rsid w:val="65F429F0"/>
    <w:rsid w:val="66462C24"/>
    <w:rsid w:val="665A6FDB"/>
    <w:rsid w:val="66B368AE"/>
    <w:rsid w:val="66B532F3"/>
    <w:rsid w:val="66C2760F"/>
    <w:rsid w:val="675A3B6C"/>
    <w:rsid w:val="67906832"/>
    <w:rsid w:val="67AF7DB6"/>
    <w:rsid w:val="680564C6"/>
    <w:rsid w:val="681B3F7A"/>
    <w:rsid w:val="68233428"/>
    <w:rsid w:val="68B54AF7"/>
    <w:rsid w:val="68CA009F"/>
    <w:rsid w:val="695B5920"/>
    <w:rsid w:val="69A519A5"/>
    <w:rsid w:val="69B35A0D"/>
    <w:rsid w:val="69CC607C"/>
    <w:rsid w:val="69EA1163"/>
    <w:rsid w:val="69F96768"/>
    <w:rsid w:val="6A000D1D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DD772F3"/>
    <w:rsid w:val="6E0C3BBF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567A"/>
    <w:rsid w:val="70795456"/>
    <w:rsid w:val="709946EC"/>
    <w:rsid w:val="72385532"/>
    <w:rsid w:val="72702455"/>
    <w:rsid w:val="72884C69"/>
    <w:rsid w:val="728F2E47"/>
    <w:rsid w:val="72973011"/>
    <w:rsid w:val="72E42D1B"/>
    <w:rsid w:val="73343015"/>
    <w:rsid w:val="734F0911"/>
    <w:rsid w:val="736054C4"/>
    <w:rsid w:val="736C572D"/>
    <w:rsid w:val="73A422EB"/>
    <w:rsid w:val="74103E55"/>
    <w:rsid w:val="745B622A"/>
    <w:rsid w:val="74AA3A17"/>
    <w:rsid w:val="753E2D2E"/>
    <w:rsid w:val="756A1F87"/>
    <w:rsid w:val="75975CD6"/>
    <w:rsid w:val="75B50E95"/>
    <w:rsid w:val="75B63EDF"/>
    <w:rsid w:val="75C41720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DC62E5"/>
    <w:rsid w:val="7A200C95"/>
    <w:rsid w:val="7A594332"/>
    <w:rsid w:val="7A8564DB"/>
    <w:rsid w:val="7AC22B97"/>
    <w:rsid w:val="7B1F77A4"/>
    <w:rsid w:val="7B292799"/>
    <w:rsid w:val="7B6255B6"/>
    <w:rsid w:val="7BA24F70"/>
    <w:rsid w:val="7C090682"/>
    <w:rsid w:val="7C6A6CA8"/>
    <w:rsid w:val="7CC94CD2"/>
    <w:rsid w:val="7CF04E00"/>
    <w:rsid w:val="7D41026F"/>
    <w:rsid w:val="7D59343F"/>
    <w:rsid w:val="7E0A78B3"/>
    <w:rsid w:val="7E2665B9"/>
    <w:rsid w:val="7E2912F3"/>
    <w:rsid w:val="7EAA2710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yz正文"/>
    <w:qFormat/>
    <w:uiPriority w:val="0"/>
    <w:pPr>
      <w:widowControl w:val="0"/>
      <w:ind w:firstLine="420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1</TotalTime>
  <ScaleCrop>false</ScaleCrop>
  <LinksUpToDate>false</LinksUpToDate>
  <CharactersWithSpaces>13540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2022-08-19T06:47:42Z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C682E2C80E614F878FC78DD48DB84185</vt:lpwstr>
  </property>
</Properties>
</file>