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9ACB" w14:textId="77777777" w:rsidR="00420BDE" w:rsidRDefault="00000000">
      <w:pPr>
        <w:spacing w:beforeLines="100" w:before="312" w:afterLines="100" w:after="312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静态电子汽车衡称量测量过程测量不确定度评定报告</w:t>
      </w:r>
    </w:p>
    <w:p w14:paraId="1ED7277A" w14:textId="77777777" w:rsidR="00420BDE" w:rsidRDefault="00000000"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>一、评定对象</w:t>
      </w:r>
      <w:r>
        <w:rPr>
          <w:rFonts w:hint="eastAsia"/>
          <w:b/>
          <w:sz w:val="28"/>
        </w:rPr>
        <w:t xml:space="preserve"> </w:t>
      </w:r>
    </w:p>
    <w:p w14:paraId="3F1242F8" w14:textId="77777777" w:rsidR="00420BDE" w:rsidRDefault="0000000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1#</w:t>
      </w:r>
      <w:r>
        <w:rPr>
          <w:rFonts w:hint="eastAsia"/>
          <w:sz w:val="28"/>
        </w:rPr>
        <w:t>电子汽车衡</w:t>
      </w:r>
    </w:p>
    <w:p w14:paraId="3AA00128" w14:textId="77777777" w:rsidR="00420BDE" w:rsidRDefault="00000000"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>二、评定方法</w:t>
      </w:r>
    </w:p>
    <w:p w14:paraId="275925F0" w14:textId="77777777" w:rsidR="00420BDE" w:rsidRDefault="00000000">
      <w:pPr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根据《测量不确定度控制》程序文件，采用简化的方法评定测量过程的测量不确定度按</w:t>
      </w:r>
      <w:r>
        <w:rPr>
          <w:rFonts w:hint="eastAsia"/>
          <w:sz w:val="28"/>
        </w:rPr>
        <w:t>JJF1059.1</w:t>
      </w:r>
      <w:r>
        <w:rPr>
          <w:rFonts w:hint="eastAsia"/>
          <w:sz w:val="28"/>
        </w:rPr>
        <w:t>《测量不确定度评定和表示》进行。</w:t>
      </w:r>
    </w:p>
    <w:p w14:paraId="221129D4" w14:textId="77777777" w:rsidR="00420BDE" w:rsidRDefault="00000000"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>三、测量方法</w:t>
      </w:r>
    </w:p>
    <w:p w14:paraId="077E61FE" w14:textId="77777777" w:rsidR="00420BDE" w:rsidRDefault="00000000">
      <w:pPr>
        <w:tabs>
          <w:tab w:val="left" w:pos="452"/>
        </w:tabs>
        <w:ind w:firstLineChars="200" w:firstLine="560"/>
        <w:rPr>
          <w:sz w:val="28"/>
        </w:rPr>
      </w:pPr>
      <w:r>
        <w:rPr>
          <w:rFonts w:hint="eastAsia"/>
          <w:sz w:val="28"/>
        </w:rPr>
        <w:t>依据《汽车衡计量岗位操作流程》有关流程进行操作。</w:t>
      </w:r>
    </w:p>
    <w:p w14:paraId="1681F4B0" w14:textId="77777777" w:rsidR="00420BD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四、数学模型</w:t>
      </w:r>
    </w:p>
    <w:p w14:paraId="1294CC3F" w14:textId="77777777" w:rsidR="00420BDE" w:rsidRDefault="0000000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X=m</w:t>
      </w:r>
    </w:p>
    <w:p w14:paraId="716C4B39" w14:textId="77777777" w:rsidR="00420BD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五、不确定度评定</w:t>
      </w:r>
    </w:p>
    <w:p w14:paraId="628ECEB4" w14:textId="77777777" w:rsidR="00420BDE" w:rsidRDefault="0000000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测量不确定度主要的影响因素是测量环境、测量方法、测量人员、测量设备、测量重复性等，由于测量环境受控、测量方法合理、测量人员操作标准，这些影响因素带来的影响微乎其微，因此测量不确定度评定的计算忽略这些分量带来的影响。</w:t>
      </w:r>
    </w:p>
    <w:p w14:paraId="1B9CB91E" w14:textId="77777777" w:rsidR="00420BDE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</w:t>
      </w:r>
      <w:r>
        <w:rPr>
          <w:rFonts w:hint="eastAsia"/>
          <w:b/>
          <w:bCs/>
          <w:sz w:val="28"/>
          <w:szCs w:val="28"/>
        </w:rPr>
        <w:t>、由测量重复性引入的评定标准不确定度</w:t>
      </w:r>
      <w:r>
        <w:rPr>
          <w:rFonts w:hint="eastAsia"/>
          <w:b/>
          <w:bCs/>
          <w:i/>
          <w:sz w:val="28"/>
          <w:szCs w:val="28"/>
        </w:rPr>
        <w:t>u</w:t>
      </w:r>
      <w:r>
        <w:rPr>
          <w:rFonts w:hint="eastAsia"/>
          <w:b/>
          <w:bCs/>
          <w:i/>
          <w:sz w:val="28"/>
          <w:szCs w:val="28"/>
          <w:vertAlign w:val="subscript"/>
        </w:rPr>
        <w:t>a</w:t>
      </w:r>
      <w:r>
        <w:rPr>
          <w:rFonts w:hint="eastAsia"/>
          <w:b/>
          <w:bCs/>
          <w:sz w:val="28"/>
          <w:szCs w:val="28"/>
        </w:rPr>
        <w:t>的计算</w:t>
      </w:r>
    </w:p>
    <w:p w14:paraId="667672B0" w14:textId="77777777" w:rsidR="00420BDE" w:rsidRDefault="0000000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根据顾客或实际使用的要求进行重复性测量，测量的次数不少于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次，以此获得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类评定标准不确定度的实验数据。因此，在重复性测量条件下，连续进行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次测量，得到的测量数据如下：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56"/>
      </w:tblGrid>
      <w:tr w:rsidR="00420BDE" w14:paraId="7D638F17" w14:textId="77777777">
        <w:trPr>
          <w:trHeight w:val="577"/>
          <w:jc w:val="center"/>
        </w:trPr>
        <w:tc>
          <w:tcPr>
            <w:tcW w:w="1324" w:type="dxa"/>
            <w:vAlign w:val="center"/>
          </w:tcPr>
          <w:p w14:paraId="691AAC04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测量序号</w:t>
            </w:r>
          </w:p>
        </w:tc>
        <w:tc>
          <w:tcPr>
            <w:tcW w:w="2256" w:type="dxa"/>
            <w:vAlign w:val="center"/>
          </w:tcPr>
          <w:p w14:paraId="3F460CBD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测量数值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15"/>
                <w:szCs w:val="15"/>
              </w:rPr>
              <w:t>i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20BDE" w14:paraId="2F8437C3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6F755CCA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56" w:type="dxa"/>
            <w:vAlign w:val="center"/>
          </w:tcPr>
          <w:p w14:paraId="04759FE8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44160</w:t>
            </w:r>
          </w:p>
        </w:tc>
      </w:tr>
      <w:tr w:rsidR="00420BDE" w14:paraId="13A3695B" w14:textId="77777777">
        <w:trPr>
          <w:trHeight w:val="499"/>
          <w:jc w:val="center"/>
        </w:trPr>
        <w:tc>
          <w:tcPr>
            <w:tcW w:w="1324" w:type="dxa"/>
            <w:vAlign w:val="center"/>
          </w:tcPr>
          <w:p w14:paraId="7E5BFB51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56" w:type="dxa"/>
            <w:vAlign w:val="center"/>
          </w:tcPr>
          <w:p w14:paraId="29C55D92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44160</w:t>
            </w:r>
          </w:p>
        </w:tc>
      </w:tr>
      <w:tr w:rsidR="00420BDE" w14:paraId="2652AF4B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7F0D8E30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2256" w:type="dxa"/>
            <w:vAlign w:val="center"/>
          </w:tcPr>
          <w:p w14:paraId="4614C83D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44140</w:t>
            </w:r>
          </w:p>
        </w:tc>
      </w:tr>
      <w:tr w:rsidR="00420BDE" w14:paraId="127152BF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4D1B8FA3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56" w:type="dxa"/>
            <w:vAlign w:val="center"/>
          </w:tcPr>
          <w:p w14:paraId="35622D51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44180</w:t>
            </w:r>
          </w:p>
        </w:tc>
      </w:tr>
      <w:tr w:rsidR="00420BDE" w14:paraId="6CD25165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20802675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56" w:type="dxa"/>
            <w:vAlign w:val="center"/>
          </w:tcPr>
          <w:p w14:paraId="6F500B67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44160</w:t>
            </w:r>
          </w:p>
        </w:tc>
      </w:tr>
      <w:tr w:rsidR="00420BDE" w14:paraId="65C9B763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5B898DF2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56" w:type="dxa"/>
            <w:vAlign w:val="center"/>
          </w:tcPr>
          <w:p w14:paraId="4717594D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44180</w:t>
            </w:r>
          </w:p>
        </w:tc>
      </w:tr>
      <w:tr w:rsidR="00420BDE" w14:paraId="404663CF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068D37B2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56" w:type="dxa"/>
            <w:vAlign w:val="center"/>
          </w:tcPr>
          <w:p w14:paraId="729E5C43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44180</w:t>
            </w:r>
          </w:p>
        </w:tc>
      </w:tr>
      <w:tr w:rsidR="00420BDE" w14:paraId="127B3B84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676FE492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56" w:type="dxa"/>
            <w:vAlign w:val="center"/>
          </w:tcPr>
          <w:p w14:paraId="4AA0B637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44160</w:t>
            </w:r>
          </w:p>
        </w:tc>
      </w:tr>
      <w:tr w:rsidR="00420BDE" w14:paraId="235F281D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1CA70122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56" w:type="dxa"/>
            <w:vAlign w:val="center"/>
          </w:tcPr>
          <w:p w14:paraId="4DE34872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44160</w:t>
            </w:r>
          </w:p>
        </w:tc>
      </w:tr>
      <w:tr w:rsidR="00420BDE" w14:paraId="6DD8F57D" w14:textId="77777777">
        <w:trPr>
          <w:trHeight w:val="525"/>
          <w:jc w:val="center"/>
        </w:trPr>
        <w:tc>
          <w:tcPr>
            <w:tcW w:w="1324" w:type="dxa"/>
            <w:vAlign w:val="center"/>
          </w:tcPr>
          <w:p w14:paraId="1492AD31" w14:textId="77777777" w:rsidR="00420BDE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56" w:type="dxa"/>
            <w:vAlign w:val="center"/>
          </w:tcPr>
          <w:p w14:paraId="5A0ADD4F" w14:textId="77777777" w:rsidR="00420B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44180</w:t>
            </w:r>
          </w:p>
        </w:tc>
      </w:tr>
    </w:tbl>
    <w:p w14:paraId="374EBBCA" w14:textId="77777777" w:rsidR="00420BDE" w:rsidRDefault="0000000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类标准不确定度评定是以实验标准偏差表示，即：</w:t>
      </w:r>
    </w:p>
    <w:p w14:paraId="62870621" w14:textId="77777777" w:rsidR="00420BDE" w:rsidRDefault="00000000">
      <w:pPr>
        <w:tabs>
          <w:tab w:val="left" w:pos="325"/>
        </w:tabs>
        <w:jc w:val="center"/>
        <w:rPr>
          <w:sz w:val="28"/>
        </w:rPr>
      </w:pPr>
      <w:r>
        <w:rPr>
          <w:rFonts w:ascii="Cambria Math" w:hAnsi="Cambria Math" w:hint="eastAsia"/>
          <w:position w:val="-28"/>
          <w:sz w:val="28"/>
        </w:rPr>
        <w:object w:dxaOrig="3580" w:dyaOrig="880" w14:anchorId="7D075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pt;height:44pt" o:ole="">
            <v:imagedata r:id="rId6" o:title=""/>
          </v:shape>
          <o:OLEObject Type="Embed" ProgID="Equation.KSEE3" ShapeID="_x0000_i1025" DrawAspect="Content" ObjectID="_1722097245" r:id="rId7"/>
        </w:object>
      </w:r>
    </w:p>
    <w:p w14:paraId="71030058" w14:textId="77777777" w:rsidR="00420BDE" w:rsidRDefault="00000000">
      <w:pPr>
        <w:tabs>
          <w:tab w:val="left" w:pos="468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5.2  B</w:t>
      </w:r>
      <w:r>
        <w:rPr>
          <w:rFonts w:hint="eastAsia"/>
          <w:b/>
          <w:bCs/>
          <w:sz w:val="28"/>
          <w:szCs w:val="28"/>
        </w:rPr>
        <w:t>类标准评定不确定度</w:t>
      </w:r>
      <w:r>
        <w:rPr>
          <w:rFonts w:hint="eastAsia"/>
          <w:b/>
          <w:bCs/>
          <w:i/>
          <w:sz w:val="28"/>
          <w:szCs w:val="28"/>
        </w:rPr>
        <w:t>u</w:t>
      </w:r>
      <w:r>
        <w:rPr>
          <w:rFonts w:ascii="宋体" w:hAnsi="宋体" w:cs="宋体" w:hint="eastAsia"/>
          <w:b/>
          <w:bCs/>
          <w:i/>
          <w:sz w:val="28"/>
          <w:szCs w:val="28"/>
          <w:vertAlign w:val="subscript"/>
        </w:rPr>
        <w:t>b</w:t>
      </w:r>
      <w:r>
        <w:rPr>
          <w:rFonts w:hint="eastAsia"/>
          <w:b/>
          <w:bCs/>
          <w:sz w:val="28"/>
          <w:szCs w:val="28"/>
        </w:rPr>
        <w:t>的计算</w:t>
      </w:r>
    </w:p>
    <w:p w14:paraId="1B312070" w14:textId="77777777" w:rsidR="00420BDE" w:rsidRDefault="00000000">
      <w:pPr>
        <w:tabs>
          <w:tab w:val="left" w:pos="468"/>
        </w:tabs>
        <w:ind w:firstLineChars="100" w:firstLine="280"/>
        <w:rPr>
          <w:sz w:val="28"/>
        </w:rPr>
      </w:pPr>
      <w:r>
        <w:rPr>
          <w:rFonts w:hint="eastAsia"/>
          <w:sz w:val="28"/>
        </w:rPr>
        <w:t>标准器引入的不确定度分量</w:t>
      </w:r>
      <w:r>
        <w:rPr>
          <w:rFonts w:hint="eastAsia"/>
          <w:sz w:val="28"/>
        </w:rPr>
        <w:t>U</w:t>
      </w:r>
      <w:r>
        <w:rPr>
          <w:rFonts w:hint="eastAsia"/>
          <w:sz w:val="28"/>
          <w:vertAlign w:val="subscript"/>
        </w:rPr>
        <w:t>b</w:t>
      </w:r>
    </w:p>
    <w:p w14:paraId="46B634E4" w14:textId="77777777" w:rsidR="00420BDE" w:rsidRDefault="00000000">
      <w:pPr>
        <w:spacing w:beforeLines="100" w:before="312" w:afterLines="100" w:after="312" w:line="440" w:lineRule="exact"/>
        <w:ind w:left="357"/>
        <w:rPr>
          <w:sz w:val="28"/>
        </w:rPr>
      </w:pPr>
      <w:r>
        <w:rPr>
          <w:rFonts w:hint="eastAsia"/>
          <w:sz w:val="28"/>
        </w:rPr>
        <w:t>查阅测量设备检定证书可得：最大允许误差为±</w:t>
      </w:r>
      <w:r>
        <w:rPr>
          <w:rFonts w:hint="eastAsia"/>
          <w:sz w:val="28"/>
        </w:rPr>
        <w:t>3</w:t>
      </w:r>
      <w:r>
        <w:rPr>
          <w:sz w:val="28"/>
        </w:rPr>
        <w:t>0k</w:t>
      </w:r>
      <w:r>
        <w:rPr>
          <w:rFonts w:hint="eastAsia"/>
          <w:sz w:val="28"/>
        </w:rPr>
        <w:t>g</w:t>
      </w:r>
      <w:r>
        <w:rPr>
          <w:rFonts w:hint="eastAsia"/>
          <w:sz w:val="28"/>
        </w:rPr>
        <w:t>。按均匀分布，包含因子</w:t>
      </w:r>
      <w:r>
        <w:rPr>
          <w:rFonts w:hint="eastAsia"/>
          <w:sz w:val="28"/>
        </w:rPr>
        <w:t>k</w:t>
      </w:r>
      <w:r>
        <w:rPr>
          <w:rFonts w:hint="eastAsia"/>
          <w:sz w:val="28"/>
        </w:rPr>
        <w:t>取</w:t>
      </w:r>
      <w:r>
        <w:rPr>
          <w:rFonts w:hint="eastAsia"/>
          <w:sz w:val="28"/>
        </w:rPr>
        <w:object w:dxaOrig="360" w:dyaOrig="360" w14:anchorId="1D9BAD28">
          <v:shape id="_x0000_i1026" type="#_x0000_t75" style="width:18pt;height:18pt" o:ole="">
            <v:imagedata r:id="rId8" o:title=""/>
          </v:shape>
          <o:OLEObject Type="Embed" ProgID="Equation.DSMT4" ShapeID="_x0000_i1026" DrawAspect="Content" ObjectID="_1722097246" r:id="rId9"/>
        </w:objec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所以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标准不确定度</w:t>
      </w:r>
      <w:r>
        <w:rPr>
          <w:rFonts w:hint="eastAsia"/>
          <w:sz w:val="28"/>
        </w:rPr>
        <w:t>U</w:t>
      </w:r>
      <w:r>
        <w:rPr>
          <w:rFonts w:hint="eastAsia"/>
          <w:sz w:val="28"/>
          <w:vertAlign w:val="subscript"/>
        </w:rPr>
        <w:t>b</w:t>
      </w:r>
      <w:r>
        <w:rPr>
          <w:rFonts w:hint="eastAsia"/>
          <w:sz w:val="28"/>
        </w:rPr>
        <w:t>为则：</w:t>
      </w:r>
    </w:p>
    <w:p w14:paraId="5717DE40" w14:textId="77777777" w:rsidR="00420BDE" w:rsidRDefault="00000000">
      <w:pPr>
        <w:spacing w:beforeLines="100" w:before="312" w:afterLines="100" w:after="312" w:line="560" w:lineRule="exact"/>
        <w:ind w:left="357" w:firstLineChars="500" w:firstLine="1400"/>
        <w:rPr>
          <w:rFonts w:ascii="Cambria Math" w:hAnsi="Cambria Math"/>
          <w:sz w:val="28"/>
        </w:rPr>
      </w:pPr>
      <w:r>
        <w:rPr>
          <w:rFonts w:ascii="Cambria Math" w:hAnsi="Cambria Math" w:hint="eastAsia"/>
          <w:position w:val="-28"/>
          <w:sz w:val="28"/>
        </w:rPr>
        <w:object w:dxaOrig="3040" w:dyaOrig="680" w14:anchorId="784EA7C7">
          <v:shape id="_x0000_i1027" type="#_x0000_t75" style="width:152pt;height:34pt" o:ole="">
            <v:imagedata r:id="rId10" o:title=""/>
          </v:shape>
          <o:OLEObject Type="Embed" ProgID="Equation.KSEE3" ShapeID="_x0000_i1027" DrawAspect="Content" ObjectID="_1722097247" r:id="rId11"/>
        </w:object>
      </w:r>
    </w:p>
    <w:p w14:paraId="49B62BC5" w14:textId="77777777" w:rsidR="00420BDE" w:rsidRDefault="00000000"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 xml:space="preserve">5.3 </w:t>
      </w:r>
      <w:r>
        <w:rPr>
          <w:rFonts w:hint="eastAsia"/>
          <w:b/>
          <w:sz w:val="28"/>
        </w:rPr>
        <w:t>合成不确定度</w:t>
      </w:r>
      <w:r>
        <w:rPr>
          <w:rFonts w:hint="eastAsia"/>
          <w:b/>
          <w:i/>
          <w:sz w:val="28"/>
        </w:rPr>
        <w:t>U</w:t>
      </w:r>
      <w:r>
        <w:rPr>
          <w:rFonts w:hint="eastAsia"/>
          <w:b/>
          <w:i/>
          <w:sz w:val="28"/>
          <w:vertAlign w:val="subscript"/>
        </w:rPr>
        <w:t>c</w:t>
      </w:r>
      <w:r>
        <w:rPr>
          <w:rFonts w:hint="eastAsia"/>
          <w:b/>
          <w:sz w:val="28"/>
        </w:rPr>
        <w:t>的计算</w:t>
      </w:r>
    </w:p>
    <w:p w14:paraId="6CB9FB55" w14:textId="77777777" w:rsidR="00420BDE" w:rsidRDefault="000000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综合以上分析，由于各分量彼此独立，则合成不确定度可按下式计算：</w:t>
      </w:r>
    </w:p>
    <w:p w14:paraId="35EBD2C2" w14:textId="77777777" w:rsidR="00420BDE" w:rsidRDefault="00000000">
      <w:pPr>
        <w:spacing w:beforeLines="100" w:before="312" w:afterLines="100" w:after="312" w:line="440" w:lineRule="exact"/>
        <w:ind w:firstLineChars="900" w:firstLine="2520"/>
        <w:rPr>
          <w:sz w:val="28"/>
          <w:szCs w:val="28"/>
        </w:rPr>
      </w:pPr>
      <w:r>
        <w:rPr>
          <w:rFonts w:ascii="Cambria Math" w:hAnsi="Cambria Math" w:hint="eastAsia"/>
          <w:position w:val="-16"/>
          <w:sz w:val="28"/>
          <w:szCs w:val="28"/>
        </w:rPr>
        <w:object w:dxaOrig="2520" w:dyaOrig="499" w14:anchorId="7C876BBC">
          <v:shape id="_x0000_i1028" type="#_x0000_t75" style="width:126pt;height:25pt" o:ole="">
            <v:imagedata r:id="rId12" o:title=""/>
          </v:shape>
          <o:OLEObject Type="Embed" ProgID="Equation.KSEE3" ShapeID="_x0000_i1028" DrawAspect="Content" ObjectID="_1722097248" r:id="rId13"/>
        </w:object>
      </w:r>
    </w:p>
    <w:p w14:paraId="33011F17" w14:textId="77777777" w:rsidR="00420BDE" w:rsidRDefault="00000000"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>5.4</w:t>
      </w:r>
      <w:r>
        <w:rPr>
          <w:rFonts w:hint="eastAsia"/>
          <w:b/>
          <w:sz w:val="28"/>
        </w:rPr>
        <w:t>、评定扩展不确定度</w:t>
      </w:r>
      <w:r>
        <w:rPr>
          <w:rFonts w:hint="eastAsia"/>
          <w:b/>
          <w:i/>
          <w:sz w:val="28"/>
        </w:rPr>
        <w:t>U</w:t>
      </w:r>
      <w:r>
        <w:rPr>
          <w:rFonts w:hint="eastAsia"/>
          <w:b/>
          <w:i/>
          <w:sz w:val="28"/>
          <w:vertAlign w:val="subscript"/>
        </w:rPr>
        <w:t>95</w:t>
      </w:r>
      <w:r>
        <w:rPr>
          <w:rFonts w:hint="eastAsia"/>
          <w:b/>
          <w:sz w:val="28"/>
        </w:rPr>
        <w:t>的计算</w:t>
      </w:r>
    </w:p>
    <w:p w14:paraId="4D127B30" w14:textId="77777777" w:rsidR="00420BDE" w:rsidRDefault="00000000">
      <w:pPr>
        <w:ind w:firstLineChars="900" w:firstLine="2520"/>
        <w:rPr>
          <w:sz w:val="28"/>
        </w:rPr>
      </w:pPr>
      <w:r>
        <w:rPr>
          <w:rFonts w:ascii="Cambria Math" w:hAnsi="Cambria Math" w:hint="eastAsia"/>
          <w:position w:val="-14"/>
          <w:sz w:val="28"/>
        </w:rPr>
        <w:object w:dxaOrig="2079" w:dyaOrig="400" w14:anchorId="723D019B">
          <v:shape id="_x0000_i1029" type="#_x0000_t75" style="width:104pt;height:20pt" o:ole="">
            <v:imagedata r:id="rId14" o:title=""/>
          </v:shape>
          <o:OLEObject Type="Embed" ProgID="Equation.KSEE3" ShapeID="_x0000_i1029" DrawAspect="Content" ObjectID="_1722097249" r:id="rId15"/>
        </w:object>
      </w:r>
      <w:r>
        <w:rPr>
          <w:rFonts w:hint="eastAsia"/>
          <w:sz w:val="28"/>
        </w:rPr>
        <w:t>（取包含因子</w:t>
      </w:r>
      <w:r>
        <w:rPr>
          <w:rFonts w:hint="eastAsia"/>
          <w:i/>
          <w:sz w:val="28"/>
        </w:rPr>
        <w:t>k</w:t>
      </w:r>
      <w:r>
        <w:rPr>
          <w:rFonts w:hint="eastAsia"/>
          <w:sz w:val="28"/>
        </w:rPr>
        <w:t>=2</w:t>
      </w:r>
      <w:r>
        <w:rPr>
          <w:rFonts w:hint="eastAsia"/>
          <w:sz w:val="28"/>
        </w:rPr>
        <w:t>）</w:t>
      </w:r>
    </w:p>
    <w:p w14:paraId="590CC55D" w14:textId="77777777" w:rsidR="00420BDE" w:rsidRDefault="00000000">
      <w:pPr>
        <w:spacing w:line="360" w:lineRule="auto"/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5.5 </w:t>
      </w:r>
      <w:r>
        <w:rPr>
          <w:rFonts w:hint="eastAsia"/>
          <w:b/>
          <w:bCs/>
          <w:sz w:val="28"/>
        </w:rPr>
        <w:t>测量不确定度的报告与表示</w:t>
      </w:r>
    </w:p>
    <w:p w14:paraId="59FC7453" w14:textId="77777777" w:rsidR="00420BDE" w:rsidRDefault="00000000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静态</w:t>
      </w:r>
      <w:r>
        <w:rPr>
          <w:rFonts w:hint="eastAsia"/>
          <w:sz w:val="28"/>
          <w:szCs w:val="28"/>
        </w:rPr>
        <w:t>1#</w:t>
      </w:r>
      <w:r>
        <w:rPr>
          <w:rFonts w:hint="eastAsia"/>
          <w:sz w:val="28"/>
          <w:szCs w:val="28"/>
        </w:rPr>
        <w:t>电子汽车衡称量</w:t>
      </w:r>
      <w:r>
        <w:rPr>
          <w:rFonts w:hint="eastAsia"/>
          <w:sz w:val="28"/>
          <w:szCs w:val="28"/>
        </w:rPr>
        <w:t>44166kg</w:t>
      </w:r>
      <w:r>
        <w:rPr>
          <w:rFonts w:hint="eastAsia"/>
          <w:sz w:val="28"/>
          <w:szCs w:val="28"/>
        </w:rPr>
        <w:t>物资的测量结果的扩展不确定度为</w:t>
      </w:r>
      <w:r>
        <w:rPr>
          <w:rFonts w:hint="eastAsia"/>
          <w:sz w:val="28"/>
          <w:szCs w:val="28"/>
        </w:rPr>
        <w:t>:</w:t>
      </w:r>
    </w:p>
    <w:p w14:paraId="45077170" w14:textId="29541686" w:rsidR="00420BDE" w:rsidRDefault="00000000">
      <w:pPr>
        <w:spacing w:line="360" w:lineRule="auto"/>
        <w:ind w:firstLineChars="800" w:firstLine="2249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U</w:t>
      </w:r>
      <w:r>
        <w:rPr>
          <w:rFonts w:hint="eastAsia"/>
          <w:b/>
          <w:i/>
          <w:sz w:val="28"/>
          <w:szCs w:val="28"/>
          <w:vertAlign w:val="subscript"/>
        </w:rPr>
        <w:t>95</w:t>
      </w:r>
      <w:r>
        <w:rPr>
          <w:rFonts w:hint="eastAsia"/>
          <w:b/>
          <w:i/>
          <w:sz w:val="28"/>
          <w:szCs w:val="28"/>
        </w:rPr>
        <w:t>=43.9kg,   k=2</w:t>
      </w:r>
    </w:p>
    <w:p w14:paraId="4997B4FF" w14:textId="19F0CB8E" w:rsidR="00420BDE" w:rsidRDefault="00000000">
      <w:pPr>
        <w:spacing w:line="360" w:lineRule="auto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本次测量结果为：</w:t>
      </w:r>
      <w:r>
        <w:rPr>
          <w:rFonts w:ascii="宋体" w:hAnsi="宋体" w:cs="宋体" w:hint="eastAsia"/>
          <w:sz w:val="28"/>
          <w:szCs w:val="28"/>
        </w:rPr>
        <w:t>（44166±43.9）kg  k=2</w:t>
      </w:r>
    </w:p>
    <w:p w14:paraId="5C077646" w14:textId="77777777" w:rsidR="00420BDE" w:rsidRDefault="00420BDE">
      <w:pPr>
        <w:spacing w:line="360" w:lineRule="auto"/>
      </w:pPr>
    </w:p>
    <w:p w14:paraId="25513AE4" w14:textId="77777777" w:rsidR="00420BDE" w:rsidRDefault="00000000">
      <w:pPr>
        <w:rPr>
          <w:sz w:val="28"/>
        </w:rPr>
      </w:pPr>
      <w:r>
        <w:rPr>
          <w:rFonts w:hint="eastAsia"/>
          <w:sz w:val="28"/>
        </w:rPr>
        <w:t>编制人：李就蒙</w:t>
      </w: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>2022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05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日</w:t>
      </w:r>
    </w:p>
    <w:p w14:paraId="384D000A" w14:textId="77777777" w:rsidR="00420BDE" w:rsidRDefault="00420BDE">
      <w:pPr>
        <w:rPr>
          <w:sz w:val="28"/>
        </w:rPr>
      </w:pPr>
    </w:p>
    <w:sectPr w:rsidR="00420BDE">
      <w:headerReference w:type="default" r:id="rId16"/>
      <w:footerReference w:type="default" r:id="rId1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8DCA" w14:textId="77777777" w:rsidR="00BA45F4" w:rsidRDefault="00BA45F4">
      <w:r>
        <w:separator/>
      </w:r>
    </w:p>
  </w:endnote>
  <w:endnote w:type="continuationSeparator" w:id="0">
    <w:p w14:paraId="3541CA9C" w14:textId="77777777" w:rsidR="00BA45F4" w:rsidRDefault="00B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5905"/>
    </w:sdtPr>
    <w:sdtContent>
      <w:p w14:paraId="1C550013" w14:textId="77777777" w:rsidR="00420BDE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F095F9" w14:textId="77777777" w:rsidR="00420BDE" w:rsidRDefault="00420B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6926" w14:textId="77777777" w:rsidR="00BA45F4" w:rsidRDefault="00BA45F4">
      <w:r>
        <w:separator/>
      </w:r>
    </w:p>
  </w:footnote>
  <w:footnote w:type="continuationSeparator" w:id="0">
    <w:p w14:paraId="6DE0586F" w14:textId="77777777" w:rsidR="00BA45F4" w:rsidRDefault="00BA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ED83" w14:textId="77777777" w:rsidR="00420BDE" w:rsidRDefault="00420BD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BlOWU5MWU4NmNkYjYzMGZmYWUzZWMzYzUzNTRiNDkifQ=="/>
  </w:docVars>
  <w:rsids>
    <w:rsidRoot w:val="00C10648"/>
    <w:rsid w:val="00011A5F"/>
    <w:rsid w:val="00031DA7"/>
    <w:rsid w:val="00057889"/>
    <w:rsid w:val="00084F43"/>
    <w:rsid w:val="000918B8"/>
    <w:rsid w:val="00096FC6"/>
    <w:rsid w:val="000B0AED"/>
    <w:rsid w:val="000B3F37"/>
    <w:rsid w:val="000D5C52"/>
    <w:rsid w:val="000E0DD5"/>
    <w:rsid w:val="000E36E4"/>
    <w:rsid w:val="0010284E"/>
    <w:rsid w:val="00116CEC"/>
    <w:rsid w:val="001345AC"/>
    <w:rsid w:val="00182F98"/>
    <w:rsid w:val="00183695"/>
    <w:rsid w:val="001E5855"/>
    <w:rsid w:val="00203621"/>
    <w:rsid w:val="00226CBD"/>
    <w:rsid w:val="00226DD4"/>
    <w:rsid w:val="002428E1"/>
    <w:rsid w:val="00287A80"/>
    <w:rsid w:val="002930C9"/>
    <w:rsid w:val="00296C31"/>
    <w:rsid w:val="002F758A"/>
    <w:rsid w:val="00346648"/>
    <w:rsid w:val="003744E1"/>
    <w:rsid w:val="00382401"/>
    <w:rsid w:val="003C783C"/>
    <w:rsid w:val="00420BDE"/>
    <w:rsid w:val="00432070"/>
    <w:rsid w:val="0044043D"/>
    <w:rsid w:val="004414D6"/>
    <w:rsid w:val="00446185"/>
    <w:rsid w:val="00450574"/>
    <w:rsid w:val="00472FDA"/>
    <w:rsid w:val="004A1398"/>
    <w:rsid w:val="004A749B"/>
    <w:rsid w:val="004C2662"/>
    <w:rsid w:val="004D0588"/>
    <w:rsid w:val="0051279C"/>
    <w:rsid w:val="00566D3B"/>
    <w:rsid w:val="005A7561"/>
    <w:rsid w:val="005F6C1B"/>
    <w:rsid w:val="00617F45"/>
    <w:rsid w:val="0062536F"/>
    <w:rsid w:val="006347E2"/>
    <w:rsid w:val="00646159"/>
    <w:rsid w:val="0064635F"/>
    <w:rsid w:val="00670208"/>
    <w:rsid w:val="0069321C"/>
    <w:rsid w:val="006C0F8D"/>
    <w:rsid w:val="00713EAC"/>
    <w:rsid w:val="00767869"/>
    <w:rsid w:val="00772965"/>
    <w:rsid w:val="00772C1E"/>
    <w:rsid w:val="00775E4E"/>
    <w:rsid w:val="0078082B"/>
    <w:rsid w:val="00792590"/>
    <w:rsid w:val="007D3222"/>
    <w:rsid w:val="008049BA"/>
    <w:rsid w:val="00816B75"/>
    <w:rsid w:val="00831D65"/>
    <w:rsid w:val="00832CF9"/>
    <w:rsid w:val="008365BD"/>
    <w:rsid w:val="0083719E"/>
    <w:rsid w:val="00870DC1"/>
    <w:rsid w:val="00872B84"/>
    <w:rsid w:val="00883FCA"/>
    <w:rsid w:val="008F6D95"/>
    <w:rsid w:val="00993A53"/>
    <w:rsid w:val="009A27BB"/>
    <w:rsid w:val="009A4C30"/>
    <w:rsid w:val="009C01EB"/>
    <w:rsid w:val="00A010BA"/>
    <w:rsid w:val="00A13210"/>
    <w:rsid w:val="00A73320"/>
    <w:rsid w:val="00AB32E9"/>
    <w:rsid w:val="00AD3151"/>
    <w:rsid w:val="00B00A3E"/>
    <w:rsid w:val="00B11812"/>
    <w:rsid w:val="00B152E7"/>
    <w:rsid w:val="00B31670"/>
    <w:rsid w:val="00B60EF7"/>
    <w:rsid w:val="00B931A8"/>
    <w:rsid w:val="00BA45F4"/>
    <w:rsid w:val="00BB1673"/>
    <w:rsid w:val="00BC6CC7"/>
    <w:rsid w:val="00BE32AB"/>
    <w:rsid w:val="00C0014E"/>
    <w:rsid w:val="00C10648"/>
    <w:rsid w:val="00C71372"/>
    <w:rsid w:val="00CB1FAA"/>
    <w:rsid w:val="00CD0E9A"/>
    <w:rsid w:val="00CD692A"/>
    <w:rsid w:val="00D05554"/>
    <w:rsid w:val="00D37526"/>
    <w:rsid w:val="00D6741C"/>
    <w:rsid w:val="00D964ED"/>
    <w:rsid w:val="00DB430D"/>
    <w:rsid w:val="00DD0464"/>
    <w:rsid w:val="00DD3ABF"/>
    <w:rsid w:val="00E34679"/>
    <w:rsid w:val="00E42A8C"/>
    <w:rsid w:val="00E93A95"/>
    <w:rsid w:val="00EF6791"/>
    <w:rsid w:val="00F249FB"/>
    <w:rsid w:val="00F33DBA"/>
    <w:rsid w:val="00F40E16"/>
    <w:rsid w:val="00F770C5"/>
    <w:rsid w:val="00F95503"/>
    <w:rsid w:val="00FA269D"/>
    <w:rsid w:val="00FF2E42"/>
    <w:rsid w:val="029A74E5"/>
    <w:rsid w:val="03AE3AF3"/>
    <w:rsid w:val="0B476035"/>
    <w:rsid w:val="0CC7475E"/>
    <w:rsid w:val="0DAE4726"/>
    <w:rsid w:val="151255A0"/>
    <w:rsid w:val="168A3E55"/>
    <w:rsid w:val="17CD2347"/>
    <w:rsid w:val="19A74E14"/>
    <w:rsid w:val="22A14395"/>
    <w:rsid w:val="28E50553"/>
    <w:rsid w:val="2A226E8D"/>
    <w:rsid w:val="2F236EC5"/>
    <w:rsid w:val="318F7FE0"/>
    <w:rsid w:val="35ED6B8B"/>
    <w:rsid w:val="3BEA4AB1"/>
    <w:rsid w:val="3D230B17"/>
    <w:rsid w:val="3DBB0E05"/>
    <w:rsid w:val="420B6848"/>
    <w:rsid w:val="468078EE"/>
    <w:rsid w:val="525129F5"/>
    <w:rsid w:val="57501414"/>
    <w:rsid w:val="57593570"/>
    <w:rsid w:val="581626D8"/>
    <w:rsid w:val="5B9A22DB"/>
    <w:rsid w:val="5BE8237B"/>
    <w:rsid w:val="5C3B496D"/>
    <w:rsid w:val="5C9B06F3"/>
    <w:rsid w:val="5EC7698C"/>
    <w:rsid w:val="5F604181"/>
    <w:rsid w:val="60361F15"/>
    <w:rsid w:val="61D81AA5"/>
    <w:rsid w:val="65B14922"/>
    <w:rsid w:val="65EC16AF"/>
    <w:rsid w:val="675B4F9A"/>
    <w:rsid w:val="6953779A"/>
    <w:rsid w:val="6C506213"/>
    <w:rsid w:val="6CA5330B"/>
    <w:rsid w:val="71AA0173"/>
    <w:rsid w:val="71E33BDC"/>
    <w:rsid w:val="77ED1B21"/>
    <w:rsid w:val="7BC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DA01F"/>
  <w15:docId w15:val="{136D131A-D73C-4234-9893-4B7964EA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18" w:firstLineChars="163" w:firstLine="522"/>
    </w:pPr>
    <w:rPr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hdnfzxw@163.com</cp:lastModifiedBy>
  <cp:revision>69</cp:revision>
  <cp:lastPrinted>2022-08-11T08:38:00Z</cp:lastPrinted>
  <dcterms:created xsi:type="dcterms:W3CDTF">2019-12-22T12:41:00Z</dcterms:created>
  <dcterms:modified xsi:type="dcterms:W3CDTF">2022-08-15T11:34:00Z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C3B021D850F14A68A2B341769859D196</vt:lpwstr>
  </property>
</Properties>
</file>