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840"/>
        <w:gridCol w:w="105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97" w:type="dxa"/>
            <w:vMerge w:val="restart"/>
            <w:vAlign w:val="center"/>
          </w:tcPr>
          <w:p>
            <w:pPr>
              <w:bidi w:val="0"/>
              <w:jc w:val="left"/>
            </w:pPr>
            <w:r>
              <w:rPr>
                <w:rFonts w:hint="eastAsia"/>
              </w:rPr>
              <w:t>过程与活动、</w:t>
            </w:r>
          </w:p>
          <w:p>
            <w:pPr>
              <w:bidi w:val="0"/>
              <w:jc w:val="left"/>
            </w:pPr>
            <w:r>
              <w:rPr>
                <w:rFonts w:hint="eastAsia"/>
              </w:rPr>
              <w:t>抽样计划</w:t>
            </w:r>
          </w:p>
        </w:tc>
        <w:tc>
          <w:tcPr>
            <w:tcW w:w="840" w:type="dxa"/>
            <w:vMerge w:val="restart"/>
            <w:vAlign w:val="center"/>
          </w:tcPr>
          <w:p>
            <w:pPr>
              <w:bidi w:val="0"/>
              <w:jc w:val="left"/>
            </w:pPr>
            <w:r>
              <w:rPr>
                <w:rFonts w:hint="eastAsia"/>
              </w:rPr>
              <w:t>涉及条款</w:t>
            </w:r>
          </w:p>
        </w:tc>
        <w:tc>
          <w:tcPr>
            <w:tcW w:w="10520" w:type="dxa"/>
            <w:vAlign w:val="center"/>
          </w:tcPr>
          <w:p>
            <w:pPr>
              <w:bidi w:val="0"/>
              <w:rPr>
                <w:rFonts w:hint="eastAsia"/>
                <w:lang w:val="en-US" w:eastAsia="zh-CN"/>
              </w:rPr>
            </w:pPr>
            <w:r>
              <w:rPr>
                <w:rFonts w:hint="eastAsia"/>
              </w:rPr>
              <w:t>受审核部门：</w:t>
            </w:r>
            <w:r>
              <w:rPr>
                <w:rFonts w:hint="eastAsia"/>
                <w:lang w:val="en-US" w:eastAsia="zh-CN"/>
              </w:rPr>
              <w:t xml:space="preserve">计划部  </w:t>
            </w:r>
            <w:r>
              <w:rPr>
                <w:rFonts w:hint="eastAsia"/>
              </w:rPr>
              <w:t>主管领导：</w:t>
            </w:r>
            <w:r>
              <w:rPr>
                <w:rFonts w:hint="eastAsia"/>
                <w:lang w:val="en-US" w:eastAsia="zh-CN"/>
              </w:rPr>
              <w:t>陈莲平</w:t>
            </w:r>
            <w:r>
              <w:rPr>
                <w:rFonts w:hint="eastAsia"/>
              </w:rPr>
              <w:t xml:space="preserve">   陪同人员：</w:t>
            </w:r>
            <w:r>
              <w:rPr>
                <w:rFonts w:hint="eastAsia"/>
                <w:lang w:val="en-US" w:eastAsia="zh-CN"/>
              </w:rPr>
              <w:t>张涛</w:t>
            </w:r>
          </w:p>
        </w:tc>
        <w:tc>
          <w:tcPr>
            <w:tcW w:w="1652" w:type="dxa"/>
            <w:vMerge w:val="restart"/>
            <w:vAlign w:val="center"/>
          </w:tcPr>
          <w:p>
            <w:pPr>
              <w:bidi w:val="0"/>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97" w:type="dxa"/>
            <w:vMerge w:val="continue"/>
            <w:vAlign w:val="center"/>
          </w:tcPr>
          <w:p>
            <w:pPr>
              <w:bidi w:val="0"/>
            </w:pPr>
          </w:p>
        </w:tc>
        <w:tc>
          <w:tcPr>
            <w:tcW w:w="840" w:type="dxa"/>
            <w:vMerge w:val="continue"/>
            <w:vAlign w:val="center"/>
          </w:tcPr>
          <w:p>
            <w:pPr>
              <w:bidi w:val="0"/>
            </w:pPr>
          </w:p>
        </w:tc>
        <w:tc>
          <w:tcPr>
            <w:tcW w:w="10520" w:type="dxa"/>
            <w:vAlign w:val="center"/>
          </w:tcPr>
          <w:p>
            <w:pPr>
              <w:bidi w:val="0"/>
              <w:rPr>
                <w:rFonts w:hint="default" w:eastAsia="华文细黑"/>
                <w:lang w:val="en-US" w:eastAsia="zh-CN"/>
              </w:rPr>
            </w:pPr>
            <w:r>
              <w:rPr>
                <w:rFonts w:hint="eastAsia"/>
              </w:rPr>
              <w:t>审核员：</w:t>
            </w:r>
            <w:r>
              <w:rPr>
                <w:rFonts w:hint="eastAsia"/>
                <w:lang w:val="en-US" w:eastAsia="zh-CN"/>
              </w:rPr>
              <w:t xml:space="preserve">王献华 周海翔 </w:t>
            </w:r>
            <w:r>
              <w:rPr>
                <w:rFonts w:hint="eastAsia"/>
              </w:rPr>
              <w:t>审核时间</w:t>
            </w:r>
            <w:r>
              <w:rPr>
                <w:rFonts w:hint="eastAsia" w:ascii="华文细黑" w:hAnsi="华文细黑" w:eastAsia="华文细黑" w:cs="华文细黑"/>
              </w:rPr>
              <w:t>：</w:t>
            </w:r>
            <w:r>
              <w:rPr>
                <w:rFonts w:hint="eastAsia" w:ascii="华文细黑" w:hAnsi="华文细黑" w:eastAsia="华文细黑" w:cs="华文细黑"/>
                <w:lang w:val="en-US" w:eastAsia="zh-CN"/>
              </w:rPr>
              <w:t xml:space="preserve">2022.8.11 </w:t>
            </w:r>
            <w:r>
              <w:rPr>
                <w:rFonts w:hint="eastAsia" w:ascii="华文细黑" w:hAnsi="华文细黑" w:cs="华文细黑"/>
                <w:lang w:val="en-US" w:eastAsia="zh-CN"/>
              </w:rPr>
              <w:t xml:space="preserve"> </w:t>
            </w:r>
            <w:r>
              <w:rPr>
                <w:rFonts w:hint="eastAsia" w:ascii="华文细黑" w:hAnsi="华文细黑" w:eastAsia="华文细黑" w:cs="华文细黑"/>
                <w:lang w:val="en-US" w:eastAsia="zh-CN"/>
              </w:rPr>
              <w:t>1</w:t>
            </w:r>
            <w:r>
              <w:rPr>
                <w:rFonts w:hint="eastAsia" w:ascii="华文细黑" w:hAnsi="华文细黑" w:cs="华文细黑"/>
                <w:lang w:val="en-US" w:eastAsia="zh-CN"/>
              </w:rPr>
              <w:t>5</w:t>
            </w:r>
            <w:r>
              <w:rPr>
                <w:rFonts w:hint="eastAsia" w:ascii="华文细黑" w:hAnsi="华文细黑" w:eastAsia="华文细黑" w:cs="华文细黑"/>
                <w:lang w:val="en-US" w:eastAsia="zh-CN"/>
              </w:rPr>
              <w:t>:30-1</w:t>
            </w:r>
            <w:r>
              <w:rPr>
                <w:rFonts w:hint="eastAsia" w:ascii="华文细黑" w:hAnsi="华文细黑" w:cs="华文细黑"/>
                <w:lang w:val="en-US" w:eastAsia="zh-CN"/>
              </w:rPr>
              <w:t>7</w:t>
            </w:r>
            <w:r>
              <w:rPr>
                <w:rFonts w:hint="eastAsia" w:ascii="华文细黑" w:hAnsi="华文细黑" w:eastAsia="华文细黑" w:cs="华文细黑"/>
                <w:lang w:val="en-US" w:eastAsia="zh-CN"/>
              </w:rPr>
              <w:t>:</w:t>
            </w:r>
            <w:r>
              <w:rPr>
                <w:rFonts w:hint="eastAsia" w:ascii="华文细黑" w:hAnsi="华文细黑" w:cs="华文细黑"/>
                <w:lang w:val="en-US" w:eastAsia="zh-CN"/>
              </w:rPr>
              <w:t>0</w:t>
            </w:r>
            <w:r>
              <w:rPr>
                <w:rFonts w:hint="eastAsia" w:ascii="华文细黑" w:hAnsi="华文细黑" w:eastAsia="华文细黑" w:cs="华文细黑"/>
                <w:lang w:val="en-US" w:eastAsia="zh-CN"/>
              </w:rPr>
              <w:t>0</w:t>
            </w:r>
          </w:p>
        </w:tc>
        <w:tc>
          <w:tcPr>
            <w:tcW w:w="165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vMerge w:val="continue"/>
            <w:vAlign w:val="center"/>
          </w:tcPr>
          <w:p>
            <w:pPr>
              <w:bidi w:val="0"/>
            </w:pPr>
          </w:p>
        </w:tc>
        <w:tc>
          <w:tcPr>
            <w:tcW w:w="840" w:type="dxa"/>
            <w:vMerge w:val="continue"/>
            <w:vAlign w:val="center"/>
          </w:tcPr>
          <w:p>
            <w:pPr>
              <w:bidi w:val="0"/>
            </w:pPr>
          </w:p>
        </w:tc>
        <w:tc>
          <w:tcPr>
            <w:tcW w:w="10520" w:type="dxa"/>
            <w:vAlign w:val="center"/>
          </w:tcPr>
          <w:p>
            <w:pPr>
              <w:bidi w:val="0"/>
              <w:rPr>
                <w:rFonts w:hint="eastAsia"/>
              </w:rPr>
            </w:pPr>
            <w:r>
              <w:rPr>
                <w:rFonts w:hint="eastAsia"/>
              </w:rPr>
              <w:t>审核</w:t>
            </w:r>
            <w:r>
              <w:rPr>
                <w:rFonts w:hint="eastAsia"/>
                <w:lang w:val="en-US" w:eastAsia="zh-CN"/>
              </w:rPr>
              <w:t>内容</w:t>
            </w:r>
            <w:r>
              <w:rPr>
                <w:rFonts w:hint="eastAsia"/>
              </w:rPr>
              <w:t>：</w:t>
            </w:r>
          </w:p>
          <w:p>
            <w:pPr>
              <w:numPr>
                <w:ilvl w:val="0"/>
                <w:numId w:val="0"/>
              </w:numPr>
              <w:bidi w:val="0"/>
              <w:rPr>
                <w:rFonts w:hint="eastAsia"/>
                <w:sz w:val="21"/>
                <w:szCs w:val="21"/>
                <w:lang w:val="en-US" w:eastAsia="zh-CN"/>
              </w:rPr>
            </w:pPr>
            <w:r>
              <w:rPr>
                <w:rFonts w:hint="eastAsia"/>
                <w:sz w:val="21"/>
                <w:szCs w:val="21"/>
                <w:lang w:val="en-US" w:eastAsia="zh-CN"/>
              </w:rPr>
              <w:t>1.部门职责与权限；2.目标分解落实情况；3.计划部环境因素和危险源识别与控制；4.计划部环境和职业健康安全运行控制；5.应急准备和响应</w:t>
            </w:r>
          </w:p>
          <w:p>
            <w:pPr>
              <w:numPr>
                <w:ilvl w:val="0"/>
                <w:numId w:val="0"/>
              </w:numPr>
              <w:bidi w:val="0"/>
              <w:rPr>
                <w:rFonts w:hint="eastAsia"/>
                <w:sz w:val="21"/>
                <w:szCs w:val="21"/>
                <w:lang w:val="en-US" w:eastAsia="zh-CN"/>
              </w:rPr>
            </w:pPr>
            <w:r>
              <w:rPr>
                <w:rFonts w:hint="eastAsia"/>
                <w:sz w:val="21"/>
                <w:szCs w:val="21"/>
                <w:lang w:val="en-US" w:eastAsia="zh-CN"/>
              </w:rPr>
              <w:t>涉及条款：</w:t>
            </w:r>
          </w:p>
          <w:p>
            <w:pPr>
              <w:tabs>
                <w:tab w:val="left" w:pos="709"/>
              </w:tabs>
              <w:ind w:right="57"/>
              <w:jc w:val="both"/>
              <w:rPr>
                <w:rFonts w:hint="default"/>
                <w:sz w:val="21"/>
                <w:szCs w:val="21"/>
                <w:lang w:val="en-US" w:eastAsia="zh-CN"/>
              </w:rPr>
            </w:pPr>
            <w:r>
              <w:rPr>
                <w:rFonts w:hint="eastAsia" w:ascii="Times New Roman" w:hAnsi="Times New Roman" w:eastAsia="宋体" w:cs="Times New Roman"/>
                <w:sz w:val="21"/>
                <w:szCs w:val="21"/>
                <w:lang w:val="en-US" w:eastAsia="zh-CN"/>
              </w:rPr>
              <w:t>QEO：5.3、6.2；</w:t>
            </w:r>
            <w:r>
              <w:rPr>
                <w:rFonts w:hint="eastAsia"/>
                <w:lang w:val="en-US" w:eastAsia="zh-CN"/>
              </w:rPr>
              <w:t>EO：6.1.2、8.1、8.2</w:t>
            </w:r>
          </w:p>
        </w:tc>
        <w:tc>
          <w:tcPr>
            <w:tcW w:w="1652"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组织的岗位职责和权限</w:t>
            </w:r>
          </w:p>
          <w:p>
            <w:pPr>
              <w:bidi w:val="0"/>
              <w:rPr>
                <w:rFonts w:hint="eastAsia" w:ascii="华文细黑" w:hAnsi="华文细黑" w:eastAsia="华文细黑" w:cs="华文细黑"/>
              </w:rPr>
            </w:pP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w:t>
            </w:r>
            <w:r>
              <w:rPr>
                <w:rFonts w:hint="eastAsia" w:ascii="华文细黑" w:hAnsi="华文细黑" w:eastAsia="华文细黑" w:cs="华文细黑"/>
                <w:lang w:val="en-US" w:eastAsia="zh-CN"/>
              </w:rPr>
              <w:t>EO</w:t>
            </w:r>
            <w:r>
              <w:rPr>
                <w:rFonts w:hint="eastAsia" w:ascii="华文细黑" w:hAnsi="华文细黑" w:eastAsia="华文细黑" w:cs="华文细黑"/>
              </w:rPr>
              <w:t>5.3</w:t>
            </w:r>
          </w:p>
          <w:p>
            <w:pPr>
              <w:bidi w:val="0"/>
              <w:rPr>
                <w:rFonts w:hint="eastAsia" w:ascii="华文细黑" w:hAnsi="华文细黑" w:eastAsia="华文细黑" w:cs="华文细黑"/>
              </w:rPr>
            </w:pPr>
          </w:p>
        </w:tc>
        <w:tc>
          <w:tcPr>
            <w:tcW w:w="10520" w:type="dxa"/>
            <w:vAlign w:val="center"/>
          </w:tcPr>
          <w:p>
            <w:pPr>
              <w:bidi w:val="0"/>
              <w:ind w:firstLine="420" w:firstLineChars="200"/>
              <w:rPr>
                <w:rFonts w:hint="eastAsia"/>
              </w:rPr>
            </w:pPr>
            <w:r>
              <w:rPr>
                <w:rFonts w:hint="eastAsia"/>
                <w:lang w:val="en-US" w:eastAsia="zh-CN"/>
              </w:rPr>
              <w:t>该部门在手册一体化职责中的描述如下：</w:t>
            </w:r>
          </w:p>
          <w:p>
            <w:pPr>
              <w:bidi w:val="0"/>
              <w:ind w:firstLine="420" w:firstLineChars="200"/>
              <w:rPr>
                <w:rFonts w:hint="eastAsia"/>
                <w:lang w:val="en-US" w:eastAsia="zh-CN"/>
              </w:rPr>
            </w:pPr>
            <w:r>
              <w:rPr>
                <w:rFonts w:hint="eastAsia"/>
                <w:lang w:val="en-US" w:eastAsia="zh-CN"/>
              </w:rPr>
              <w:t>1）负责生产计划的安排和实施进度跟踪管理；</w:t>
            </w:r>
          </w:p>
          <w:p>
            <w:pPr>
              <w:bidi w:val="0"/>
              <w:ind w:firstLine="420" w:firstLineChars="200"/>
              <w:rPr>
                <w:rFonts w:hint="eastAsia"/>
                <w:lang w:val="en-US" w:eastAsia="zh-CN"/>
              </w:rPr>
            </w:pPr>
            <w:r>
              <w:rPr>
                <w:rFonts w:hint="eastAsia"/>
                <w:lang w:val="en-US" w:eastAsia="zh-CN"/>
              </w:rPr>
              <w:t>2）负责参与合同评审；</w:t>
            </w:r>
          </w:p>
          <w:p>
            <w:pPr>
              <w:bidi w:val="0"/>
              <w:ind w:firstLine="420" w:firstLineChars="200"/>
              <w:rPr>
                <w:rFonts w:hint="eastAsia"/>
              </w:rPr>
            </w:pPr>
            <w:r>
              <w:rPr>
                <w:rFonts w:hint="eastAsia"/>
              </w:rPr>
              <w:t>与部门负责人沟通，</w:t>
            </w:r>
            <w:r>
              <w:rPr>
                <w:rFonts w:hint="eastAsia"/>
                <w:lang w:val="en-US" w:eastAsia="zh-CN"/>
              </w:rPr>
              <w:t>基本</w:t>
            </w:r>
            <w:r>
              <w:rPr>
                <w:rFonts w:hint="eastAsia"/>
              </w:rPr>
              <w:t>了解部门职责权限，无变化。</w:t>
            </w:r>
          </w:p>
        </w:tc>
        <w:tc>
          <w:tcPr>
            <w:tcW w:w="1652"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环境因素和危险源辨识</w:t>
            </w:r>
          </w:p>
        </w:tc>
        <w:tc>
          <w:tcPr>
            <w:tcW w:w="840" w:type="dxa"/>
          </w:tcPr>
          <w:p>
            <w:pPr>
              <w:bidi w:val="0"/>
              <w:rPr>
                <w:rFonts w:hint="default" w:ascii="华文细黑" w:hAnsi="华文细黑" w:eastAsia="华文细黑" w:cs="华文细黑"/>
                <w:lang w:val="en-US" w:eastAsia="zh-CN"/>
              </w:rPr>
            </w:pPr>
            <w:r>
              <w:rPr>
                <w:rFonts w:hint="eastAsia" w:ascii="华文细黑" w:hAnsi="华文细黑" w:cs="华文细黑"/>
                <w:lang w:val="en-US" w:eastAsia="zh-CN"/>
              </w:rPr>
              <w:t>EO6.1.2</w:t>
            </w:r>
          </w:p>
        </w:tc>
        <w:tc>
          <w:tcPr>
            <w:tcW w:w="10520" w:type="dxa"/>
            <w:vAlign w:val="center"/>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重要环境因素清单</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，涉及计划部的</w:t>
            </w:r>
            <w:r>
              <w:rPr>
                <w:rFonts w:hint="eastAsia" w:ascii="华文细黑" w:hAnsi="华文细黑" w:eastAsia="华文细黑" w:cs="华文细黑"/>
                <w:sz w:val="21"/>
                <w:szCs w:val="21"/>
                <w:lang w:val="en-US" w:eastAsia="zh-CN"/>
              </w:rPr>
              <w:t>内容如下：</w:t>
            </w:r>
          </w:p>
          <w:tbl>
            <w:tblPr>
              <w:tblStyle w:val="11"/>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序</w:t>
                  </w:r>
                  <w:r>
                    <w:rPr>
                      <w:rFonts w:hint="eastAsia" w:ascii="华文细黑" w:hAnsi="华文细黑" w:eastAsia="华文细黑" w:cs="华文细黑"/>
                      <w:sz w:val="21"/>
                      <w:szCs w:val="21"/>
                      <w:lang w:val="en-US" w:eastAsia="zh-CN"/>
                    </w:rPr>
                    <w:t>号</w:t>
                  </w:r>
                </w:p>
              </w:tc>
              <w:tc>
                <w:tcPr>
                  <w:tcW w:w="143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地点</w:t>
                  </w:r>
                </w:p>
              </w:tc>
              <w:tc>
                <w:tcPr>
                  <w:tcW w:w="202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产品</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活动和服务</w:t>
                  </w:r>
                </w:p>
              </w:tc>
              <w:tc>
                <w:tcPr>
                  <w:tcW w:w="326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环境因素</w:t>
                  </w:r>
                </w:p>
              </w:tc>
              <w:tc>
                <w:tcPr>
                  <w:tcW w:w="2806" w:type="dxa"/>
                  <w:tcBorders>
                    <w:top w:val="single" w:color="auto" w:sz="8" w:space="0"/>
                    <w:right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143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办公室</w:t>
                  </w:r>
                </w:p>
              </w:tc>
              <w:tc>
                <w:tcPr>
                  <w:tcW w:w="2020" w:type="dxa"/>
                  <w:vMerge w:val="restart"/>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废日光灯管、废旧电池的废弃、报废电脑零件、报废墨盒、废色带、废碳粉</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废弃物处理管理规定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3</w:t>
                  </w:r>
                </w:p>
                <w:p>
                  <w:pPr>
                    <w:spacing w:line="280" w:lineRule="exact"/>
                    <w:ind w:firstLine="420" w:firstLineChars="200"/>
                    <w:jc w:val="left"/>
                    <w:rPr>
                      <w:rFonts w:hint="eastAsia" w:ascii="华文细黑" w:hAnsi="华文细黑" w:eastAsia="华文细黑" w:cs="华文细黑"/>
                      <w:sz w:val="21"/>
                      <w:szCs w:val="21"/>
                    </w:rPr>
                  </w:pPr>
                </w:p>
              </w:tc>
              <w:tc>
                <w:tcPr>
                  <w:tcW w:w="143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厂区</w:t>
                  </w:r>
                </w:p>
              </w:tc>
              <w:tc>
                <w:tcPr>
                  <w:tcW w:w="2020" w:type="dxa"/>
                  <w:vMerge w:val="continue"/>
                  <w:tcBorders>
                    <w:bottom w:val="single" w:color="auto" w:sz="4" w:space="0"/>
                  </w:tcBorders>
                  <w:noWrap w:val="0"/>
                  <w:vAlign w:val="center"/>
                </w:tcPr>
                <w:p>
                  <w:pPr>
                    <w:spacing w:line="280" w:lineRule="exact"/>
                    <w:jc w:val="center"/>
                    <w:rPr>
                      <w:rFonts w:hint="eastAsia" w:ascii="华文细黑" w:hAnsi="华文细黑" w:eastAsia="华文细黑" w:cs="华文细黑"/>
                      <w:sz w:val="21"/>
                      <w:szCs w:val="21"/>
                    </w:rPr>
                  </w:pPr>
                </w:p>
              </w:tc>
              <w:tc>
                <w:tcPr>
                  <w:tcW w:w="326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火灾</w:t>
                  </w:r>
                </w:p>
              </w:tc>
              <w:tc>
                <w:tcPr>
                  <w:tcW w:w="2806" w:type="dxa"/>
                  <w:tcBorders>
                    <w:bottom w:val="single" w:color="auto" w:sz="4" w:space="0"/>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消防安全管理规定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火警紧急预案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143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厂区</w:t>
                  </w:r>
                </w:p>
              </w:tc>
              <w:tc>
                <w:tcPr>
                  <w:tcW w:w="2020" w:type="dxa"/>
                  <w:noWrap w:val="0"/>
                  <w:vAlign w:val="center"/>
                </w:tcPr>
                <w:p>
                  <w:pPr>
                    <w:spacing w:line="280" w:lineRule="exact"/>
                    <w:jc w:val="center"/>
                    <w:rPr>
                      <w:rFonts w:hint="default" w:ascii="华文细黑" w:hAnsi="华文细黑" w:eastAsia="华文细黑" w:cs="华文细黑"/>
                      <w:sz w:val="21"/>
                      <w:szCs w:val="21"/>
                      <w:lang w:val="en-US"/>
                    </w:rPr>
                  </w:pPr>
                  <w:r>
                    <w:rPr>
                      <w:rFonts w:hint="eastAsia" w:ascii="华文细黑" w:hAnsi="华文细黑" w:cs="华文细黑"/>
                      <w:sz w:val="21"/>
                      <w:szCs w:val="21"/>
                      <w:lang w:val="en-US" w:eastAsia="zh-CN"/>
                    </w:rPr>
                    <w:t>生活</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废水排放</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环境运行控制程序</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5</w:t>
                  </w:r>
                </w:p>
              </w:tc>
              <w:tc>
                <w:tcPr>
                  <w:tcW w:w="1430" w:type="dxa"/>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厂区</w:t>
                  </w:r>
                </w:p>
              </w:tc>
              <w:tc>
                <w:tcPr>
                  <w:tcW w:w="2020" w:type="dxa"/>
                  <w:noWrap w:val="0"/>
                  <w:vAlign w:val="center"/>
                </w:tcPr>
                <w:p>
                  <w:pPr>
                    <w:spacing w:line="280" w:lineRule="exact"/>
                    <w:jc w:val="center"/>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办公</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资源消耗（电能）</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能资源管理制度</w:t>
                  </w:r>
                </w:p>
              </w:tc>
            </w:tr>
          </w:tbl>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bCs w:val="0"/>
                <w:spacing w:val="0"/>
                <w:kern w:val="2"/>
                <w:sz w:val="21"/>
                <w:szCs w:val="21"/>
                <w:lang w:val="en-US" w:eastAsia="zh-CN" w:bidi="ar-SA"/>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bCs w:val="0"/>
                <w:spacing w:val="0"/>
                <w:kern w:val="2"/>
                <w:sz w:val="21"/>
                <w:szCs w:val="21"/>
                <w:lang w:val="en-US" w:eastAsia="zh-CN" w:bidi="ar-SA"/>
              </w:rPr>
              <w:t>《重要风险危险源清单》</w:t>
            </w:r>
            <w:r>
              <w:rPr>
                <w:rFonts w:hint="eastAsia" w:ascii="华文细黑" w:hAnsi="华文细黑" w:cs="华文细黑"/>
                <w:bCs w:val="0"/>
                <w:spacing w:val="0"/>
                <w:kern w:val="2"/>
                <w:sz w:val="21"/>
                <w:szCs w:val="21"/>
                <w:lang w:val="en-US" w:eastAsia="zh-CN" w:bidi="ar-SA"/>
              </w:rPr>
              <w:t>，涉及计划部的</w:t>
            </w:r>
            <w:r>
              <w:rPr>
                <w:rFonts w:hint="eastAsia" w:ascii="华文细黑" w:hAnsi="华文细黑" w:eastAsia="华文细黑" w:cs="华文细黑"/>
                <w:bCs w:val="0"/>
                <w:spacing w:val="0"/>
                <w:kern w:val="2"/>
                <w:sz w:val="21"/>
                <w:szCs w:val="21"/>
                <w:lang w:val="en-US" w:eastAsia="zh-CN" w:bidi="ar-SA"/>
              </w:rPr>
              <w:t>内容如下：</w:t>
            </w:r>
          </w:p>
          <w:tbl>
            <w:tblPr>
              <w:tblStyle w:val="11"/>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8"/>
              <w:gridCol w:w="2703"/>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518" w:type="dxa"/>
                  <w:shd w:val="clear" w:color="auto" w:fill="auto"/>
                </w:tcPr>
                <w:p>
                  <w:pPr>
                    <w:spacing w:line="280" w:lineRule="exact"/>
                    <w:jc w:val="center"/>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lang w:val="en-US" w:eastAsia="zh-CN"/>
                    </w:rPr>
                    <w:t>重大危险源</w:t>
                  </w:r>
                </w:p>
              </w:tc>
              <w:tc>
                <w:tcPr>
                  <w:tcW w:w="2703" w:type="dxa"/>
                  <w:shd w:val="clear" w:color="auto" w:fill="auto"/>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职业健康安全风险</w:t>
                  </w:r>
                </w:p>
              </w:tc>
              <w:tc>
                <w:tcPr>
                  <w:tcW w:w="4038" w:type="dxa"/>
                  <w:shd w:val="clear" w:color="auto" w:fill="auto"/>
                  <w:vAlign w:val="top"/>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51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明火、消防器材不全或失效</w:t>
                  </w:r>
                </w:p>
              </w:tc>
              <w:tc>
                <w:tcPr>
                  <w:tcW w:w="2703"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GB" w:eastAsia="zh-CN"/>
                    </w:rPr>
                  </w:pPr>
                  <w:r>
                    <w:rPr>
                      <w:rFonts w:hint="eastAsia" w:ascii="华文细黑" w:hAnsi="华文细黑" w:eastAsia="华文细黑" w:cs="华文细黑"/>
                      <w:sz w:val="21"/>
                      <w:szCs w:val="21"/>
                      <w:lang w:val="en-US" w:eastAsia="zh-CN"/>
                    </w:rPr>
                    <w:t>火灾、爆炸</w:t>
                  </w:r>
                </w:p>
              </w:tc>
              <w:tc>
                <w:tcPr>
                  <w:tcW w:w="4038"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落实消防安全制度，配置灭火器材，制定应急预案</w:t>
                  </w:r>
                </w:p>
              </w:tc>
            </w:tr>
          </w:tbl>
          <w:p>
            <w:pPr>
              <w:bidi w:val="0"/>
              <w:ind w:firstLine="420" w:firstLineChars="200"/>
              <w:rPr>
                <w:rFonts w:hint="default" w:eastAsia="华文细黑"/>
                <w:lang w:val="en-US" w:eastAsia="zh-CN"/>
              </w:rPr>
            </w:pPr>
            <w:r>
              <w:rPr>
                <w:rFonts w:hint="eastAsia"/>
                <w:lang w:val="en-US" w:eastAsia="zh-CN"/>
              </w:rPr>
              <w:t>计划部在部门职责范围内辨识相应的环境因素和危险源，并在行政部统一协调下遵循制定的控制措施，基本满足识别和控制要求。</w:t>
            </w:r>
            <w:bookmarkStart w:id="0" w:name="_GoBack"/>
            <w:bookmarkEnd w:id="0"/>
          </w:p>
        </w:tc>
        <w:tc>
          <w:tcPr>
            <w:tcW w:w="1652" w:type="dxa"/>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目标及其实现的策划总要求</w:t>
            </w: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w:t>
            </w:r>
            <w:r>
              <w:rPr>
                <w:rFonts w:hint="eastAsia" w:ascii="华文细黑" w:hAnsi="华文细黑" w:eastAsia="华文细黑" w:cs="华文细黑"/>
                <w:lang w:val="en-US" w:eastAsia="zh-CN"/>
              </w:rPr>
              <w:t>EO</w:t>
            </w:r>
            <w:r>
              <w:rPr>
                <w:rFonts w:hint="eastAsia" w:ascii="华文细黑" w:hAnsi="华文细黑" w:eastAsia="华文细黑" w:cs="华文细黑"/>
              </w:rPr>
              <w:t>6.2</w:t>
            </w:r>
          </w:p>
          <w:p>
            <w:pPr>
              <w:bidi w:val="0"/>
              <w:rPr>
                <w:rFonts w:hint="eastAsia" w:ascii="华文细黑" w:hAnsi="华文细黑" w:eastAsia="华文细黑" w:cs="华文细黑"/>
              </w:rPr>
            </w:pPr>
          </w:p>
          <w:p>
            <w:pPr>
              <w:bidi w:val="0"/>
              <w:rPr>
                <w:rFonts w:hint="eastAsia" w:ascii="华文细黑" w:hAnsi="华文细黑" w:eastAsia="华文细黑" w:cs="华文细黑"/>
              </w:rPr>
            </w:pPr>
          </w:p>
        </w:tc>
        <w:tc>
          <w:tcPr>
            <w:tcW w:w="10520" w:type="dxa"/>
            <w:vAlign w:val="center"/>
          </w:tcPr>
          <w:p>
            <w:pPr>
              <w:bidi w:val="0"/>
              <w:ind w:firstLine="420" w:firstLineChars="200"/>
            </w:pPr>
            <w:r>
              <w:rPr>
                <w:rFonts w:hint="eastAsia"/>
                <w:lang w:val="en-US" w:eastAsia="zh-CN"/>
              </w:rPr>
              <w:t>计划部的目标分解落实情况如下：</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帐物符合率100%</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固体废弃物100%分类处理</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火灾事故发生率0</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不发生重大安全事故</w:t>
            </w:r>
          </w:p>
          <w:p>
            <w:pPr>
              <w:bidi w:val="0"/>
              <w:ind w:firstLine="420" w:firstLineChars="200"/>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全年职业病例发生零次</w:t>
            </w:r>
          </w:p>
          <w:p>
            <w:pPr>
              <w:bidi w:val="0"/>
              <w:ind w:firstLine="420" w:firstLineChars="200"/>
              <w:rPr>
                <w:rFonts w:hint="eastAsia" w:ascii="Times New Roman" w:hAnsi="Times New Roman" w:cs="Times New Roman"/>
              </w:rPr>
            </w:pPr>
            <w:r>
              <w:rPr>
                <w:rFonts w:hint="eastAsia" w:ascii="Times New Roman" w:hAnsi="Times New Roman" w:cs="Times New Roman"/>
              </w:rPr>
              <w:t>部门分解目标与</w:t>
            </w:r>
            <w:r>
              <w:rPr>
                <w:rFonts w:hint="eastAsia" w:ascii="Times New Roman" w:hAnsi="Times New Roman" w:cs="Times New Roman"/>
                <w:lang w:val="en-US" w:eastAsia="zh-CN"/>
              </w:rPr>
              <w:t>组织</w:t>
            </w:r>
            <w:r>
              <w:rPr>
                <w:rFonts w:hint="eastAsia" w:ascii="Times New Roman" w:hAnsi="Times New Roman" w:cs="Times New Roman"/>
              </w:rPr>
              <w:t>方针</w:t>
            </w:r>
            <w:r>
              <w:rPr>
                <w:rFonts w:hint="eastAsia" w:ascii="Times New Roman" w:hAnsi="Times New Roman" w:cs="Times New Roman"/>
                <w:lang w:val="en-US" w:eastAsia="zh-CN"/>
              </w:rPr>
              <w:t>和目标</w:t>
            </w:r>
            <w:r>
              <w:rPr>
                <w:rFonts w:hint="eastAsia" w:ascii="Times New Roman" w:hAnsi="Times New Roman" w:cs="Times New Roman"/>
              </w:rPr>
              <w:t>一致，可测量，并</w:t>
            </w:r>
            <w:r>
              <w:rPr>
                <w:rFonts w:hint="eastAsia" w:ascii="Times New Roman" w:hAnsi="Times New Roman" w:cs="Times New Roman"/>
                <w:lang w:val="en-US" w:eastAsia="zh-CN"/>
              </w:rPr>
              <w:t>能够</w:t>
            </w:r>
            <w:r>
              <w:rPr>
                <w:rFonts w:hint="eastAsia" w:ascii="Times New Roman" w:hAnsi="Times New Roman" w:cs="Times New Roman"/>
              </w:rPr>
              <w:t>传达到部门相关人员，必要时适时更新，无变化。</w:t>
            </w:r>
          </w:p>
          <w:p>
            <w:pPr>
              <w:bidi w:val="0"/>
              <w:ind w:firstLine="420" w:firstLineChars="200"/>
            </w:pPr>
            <w:r>
              <w:rPr>
                <w:rFonts w:hint="eastAsia" w:ascii="Times New Roman" w:hAnsi="Times New Roman" w:cs="Times New Roman"/>
              </w:rPr>
              <w:t>提供</w:t>
            </w:r>
            <w:r>
              <w:rPr>
                <w:rFonts w:hint="eastAsia" w:ascii="Times New Roman" w:hAnsi="Times New Roman" w:cs="Times New Roman"/>
                <w:lang w:val="en-US" w:eastAsia="zh-CN"/>
              </w:rPr>
              <w:t>截止审核期间的</w:t>
            </w:r>
            <w:r>
              <w:rPr>
                <w:rFonts w:hint="eastAsia" w:ascii="Times New Roman" w:hAnsi="Times New Roman" w:cs="Times New Roman"/>
              </w:rPr>
              <w:t>《目标完成情况考核统计</w:t>
            </w:r>
            <w:r>
              <w:rPr>
                <w:rFonts w:hint="eastAsia"/>
              </w:rPr>
              <w:t>表》</w:t>
            </w:r>
            <w:r>
              <w:rPr>
                <w:rFonts w:hint="eastAsia"/>
                <w:lang w:eastAsia="zh-CN"/>
              </w:rPr>
              <w:t>，</w:t>
            </w:r>
            <w:r>
              <w:rPr>
                <w:rFonts w:hint="eastAsia"/>
              </w:rPr>
              <w:t>以上各</w:t>
            </w:r>
            <w:r>
              <w:rPr>
                <w:rFonts w:hint="eastAsia"/>
                <w:lang w:val="en-US" w:eastAsia="zh-CN"/>
              </w:rPr>
              <w:t>目标</w:t>
            </w:r>
            <w:r>
              <w:rPr>
                <w:rFonts w:hint="eastAsia"/>
              </w:rPr>
              <w:t>均已达成。</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eastAsia" w:ascii="华文细黑" w:hAnsi="华文细黑" w:eastAsia="华文细黑" w:cs="华文细黑"/>
              </w:rPr>
            </w:pPr>
            <w:r>
              <w:rPr>
                <w:rFonts w:hint="eastAsia" w:ascii="华文细黑" w:hAnsi="华文细黑" w:eastAsia="华文细黑" w:cs="华文细黑"/>
              </w:rPr>
              <w:t>标识和可追溯性</w:t>
            </w:r>
          </w:p>
        </w:tc>
        <w:tc>
          <w:tcPr>
            <w:tcW w:w="840" w:type="dxa"/>
          </w:tcPr>
          <w:p>
            <w:pPr>
              <w:bidi w:val="0"/>
              <w:rPr>
                <w:rFonts w:hint="eastAsia" w:ascii="华文细黑" w:hAnsi="华文细黑" w:eastAsia="华文细黑" w:cs="华文细黑"/>
              </w:rPr>
            </w:pPr>
            <w:r>
              <w:rPr>
                <w:rFonts w:hint="eastAsia" w:ascii="华文细黑" w:hAnsi="华文细黑" w:eastAsia="华文细黑" w:cs="华文细黑"/>
              </w:rPr>
              <w:t>Q8.5.2</w:t>
            </w:r>
          </w:p>
          <w:p>
            <w:pPr>
              <w:bidi w:val="0"/>
              <w:rPr>
                <w:rFonts w:hint="eastAsia" w:ascii="华文细黑" w:hAnsi="华文细黑" w:eastAsia="华文细黑" w:cs="华文细黑"/>
              </w:rPr>
            </w:pPr>
          </w:p>
        </w:tc>
        <w:tc>
          <w:tcPr>
            <w:tcW w:w="10520" w:type="dxa"/>
          </w:tcPr>
          <w:p>
            <w:pPr>
              <w:bidi w:val="0"/>
              <w:ind w:firstLine="420" w:firstLineChars="200"/>
            </w:pPr>
            <w:r>
              <w:rPr>
                <w:rFonts w:hint="eastAsia"/>
                <w:lang w:val="en-US" w:eastAsia="zh-CN"/>
              </w:rPr>
              <w:t>现场</w:t>
            </w:r>
            <w:r>
              <w:rPr>
                <w:rFonts w:hint="eastAsia"/>
              </w:rPr>
              <w:t>查看</w:t>
            </w:r>
            <w:r>
              <w:rPr>
                <w:rFonts w:hint="eastAsia"/>
                <w:lang w:val="en-US" w:eastAsia="zh-CN"/>
              </w:rPr>
              <w:t>车间、仓库</w:t>
            </w:r>
            <w:r>
              <w:rPr>
                <w:rFonts w:hint="eastAsia"/>
              </w:rPr>
              <w:t>：</w:t>
            </w:r>
          </w:p>
          <w:p>
            <w:pPr>
              <w:bidi w:val="0"/>
              <w:ind w:firstLine="420" w:firstLineChars="200"/>
            </w:pPr>
            <w:r>
              <w:rPr>
                <w:rFonts w:hint="eastAsia"/>
              </w:rPr>
              <w:t>原材料、</w:t>
            </w:r>
            <w:r>
              <w:rPr>
                <w:rFonts w:hint="eastAsia"/>
                <w:lang w:val="en-US" w:eastAsia="zh-CN"/>
              </w:rPr>
              <w:t>半</w:t>
            </w:r>
            <w:r>
              <w:rPr>
                <w:rFonts w:hint="eastAsia"/>
              </w:rPr>
              <w:t>产品、成品采用标签进行标识</w:t>
            </w:r>
            <w:r>
              <w:rPr>
                <w:rFonts w:hint="eastAsia"/>
                <w:lang w:eastAsia="zh-CN"/>
              </w:rPr>
              <w:t>，</w:t>
            </w:r>
            <w:r>
              <w:rPr>
                <w:rFonts w:hint="eastAsia"/>
                <w:lang w:val="en-US" w:eastAsia="zh-CN"/>
              </w:rPr>
              <w:t>分区域堆放</w:t>
            </w:r>
            <w:r>
              <w:rPr>
                <w:rFonts w:hint="eastAsia"/>
              </w:rPr>
              <w:t>，符合要求。</w:t>
            </w:r>
          </w:p>
          <w:p>
            <w:pPr>
              <w:bidi w:val="0"/>
              <w:ind w:firstLine="420" w:firstLineChars="200"/>
            </w:pPr>
            <w:r>
              <w:rPr>
                <w:rFonts w:hint="eastAsia"/>
                <w:lang w:val="en-US" w:eastAsia="zh-CN"/>
              </w:rPr>
              <w:t>最值的产品依批次可进行</w:t>
            </w:r>
            <w:r>
              <w:rPr>
                <w:rFonts w:hint="eastAsia"/>
              </w:rPr>
              <w:t>追溯</w:t>
            </w:r>
            <w:r>
              <w:rPr>
                <w:rFonts w:hint="eastAsia"/>
                <w:lang w:eastAsia="zh-CN"/>
              </w:rPr>
              <w:t>。</w:t>
            </w:r>
            <w:r>
              <w:rPr>
                <w:rFonts w:hint="eastAsia"/>
                <w:lang w:val="en-US" w:eastAsia="zh-CN"/>
              </w:rPr>
              <w:t>计划部</w:t>
            </w:r>
            <w:r>
              <w:rPr>
                <w:rFonts w:hint="eastAsia"/>
              </w:rPr>
              <w:t>负责人</w:t>
            </w:r>
            <w:r>
              <w:rPr>
                <w:rFonts w:hint="eastAsia"/>
                <w:lang w:val="en-US" w:eastAsia="zh-CN"/>
              </w:rPr>
              <w:t>介绍</w:t>
            </w:r>
            <w:r>
              <w:rPr>
                <w:rFonts w:hint="eastAsia"/>
              </w:rPr>
              <w:t>：顾客在</w:t>
            </w:r>
            <w:r>
              <w:rPr>
                <w:rFonts w:hint="eastAsia"/>
                <w:lang w:val="en-US" w:eastAsia="zh-CN"/>
              </w:rPr>
              <w:t>交付</w:t>
            </w:r>
            <w:r>
              <w:rPr>
                <w:rFonts w:hint="eastAsia"/>
              </w:rPr>
              <w:t>中</w:t>
            </w:r>
            <w:r>
              <w:rPr>
                <w:rFonts w:hint="eastAsia"/>
                <w:lang w:val="en-US" w:eastAsia="zh-CN"/>
              </w:rPr>
              <w:t>发现的</w:t>
            </w:r>
            <w:r>
              <w:rPr>
                <w:rFonts w:hint="eastAsia"/>
              </w:rPr>
              <w:t>问题</w:t>
            </w:r>
            <w:r>
              <w:rPr>
                <w:rFonts w:hint="eastAsia"/>
                <w:lang w:val="en-US" w:eastAsia="zh-CN"/>
              </w:rPr>
              <w:t>产品</w:t>
            </w:r>
            <w:r>
              <w:rPr>
                <w:rFonts w:hint="eastAsia"/>
              </w:rPr>
              <w:t>反馈到公司后，公司依据</w:t>
            </w:r>
            <w:r>
              <w:rPr>
                <w:rFonts w:hint="eastAsia"/>
                <w:lang w:val="en-US" w:eastAsia="zh-CN"/>
              </w:rPr>
              <w:t>订单</w:t>
            </w:r>
            <w:r>
              <w:rPr>
                <w:rFonts w:hint="eastAsia"/>
              </w:rPr>
              <w:t>，</w:t>
            </w:r>
            <w:r>
              <w:rPr>
                <w:rFonts w:hint="eastAsia"/>
                <w:lang w:val="en-US" w:eastAsia="zh-CN"/>
              </w:rPr>
              <w:t>可追溯生产日期</w:t>
            </w:r>
            <w:r>
              <w:rPr>
                <w:rFonts w:hint="eastAsia"/>
                <w:lang w:eastAsia="zh-CN"/>
              </w:rPr>
              <w:t>、</w:t>
            </w:r>
            <w:r>
              <w:rPr>
                <w:rFonts w:hint="eastAsia"/>
              </w:rPr>
              <w:t>生产</w:t>
            </w:r>
            <w:r>
              <w:rPr>
                <w:rFonts w:hint="eastAsia"/>
                <w:lang w:val="en-US" w:eastAsia="zh-CN"/>
              </w:rPr>
              <w:t>机器</w:t>
            </w:r>
            <w:r>
              <w:rPr>
                <w:rFonts w:hint="eastAsia"/>
              </w:rPr>
              <w:t>和操作者</w:t>
            </w:r>
            <w:r>
              <w:rPr>
                <w:rFonts w:hint="eastAsia"/>
                <w:lang w:val="en-US" w:eastAsia="zh-CN"/>
              </w:rPr>
              <w:t>及当批次原料</w:t>
            </w:r>
            <w:r>
              <w:rPr>
                <w:rFonts w:hint="eastAsia"/>
              </w:rPr>
              <w:t>供方等。</w:t>
            </w:r>
          </w:p>
          <w:p>
            <w:pPr>
              <w:bidi w:val="0"/>
              <w:ind w:firstLine="420" w:firstLineChars="200"/>
            </w:pPr>
            <w:r>
              <w:rPr>
                <w:rFonts w:hint="eastAsia"/>
                <w:lang w:val="en-US" w:eastAsia="zh-CN"/>
              </w:rPr>
              <w:t>现场</w:t>
            </w:r>
            <w:r>
              <w:rPr>
                <w:rFonts w:hint="eastAsia"/>
              </w:rPr>
              <w:t>未发现</w:t>
            </w:r>
            <w:r>
              <w:rPr>
                <w:rFonts w:hint="eastAsia"/>
                <w:lang w:val="en-US" w:eastAsia="zh-CN"/>
              </w:rPr>
              <w:t>组织因</w:t>
            </w:r>
            <w:r>
              <w:rPr>
                <w:rFonts w:hint="eastAsia"/>
              </w:rPr>
              <w:t>标识不当而造成混淆的情况。</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pPr>
            <w:r>
              <w:rPr>
                <w:rFonts w:hint="eastAsia"/>
              </w:rPr>
              <w:t>防护</w:t>
            </w:r>
          </w:p>
          <w:p>
            <w:pPr>
              <w:bidi w:val="0"/>
            </w:pPr>
          </w:p>
        </w:tc>
        <w:tc>
          <w:tcPr>
            <w:tcW w:w="840" w:type="dxa"/>
          </w:tcPr>
          <w:p>
            <w:pPr>
              <w:bidi w:val="0"/>
            </w:pPr>
            <w:r>
              <w:rPr>
                <w:rFonts w:hint="eastAsia"/>
              </w:rPr>
              <w:t>Q8.5.4</w:t>
            </w:r>
          </w:p>
          <w:p>
            <w:pPr>
              <w:bidi w:val="0"/>
            </w:pPr>
          </w:p>
        </w:tc>
        <w:tc>
          <w:tcPr>
            <w:tcW w:w="10520" w:type="dxa"/>
          </w:tcPr>
          <w:p>
            <w:pPr>
              <w:bidi w:val="0"/>
              <w:ind w:firstLine="420" w:firstLineChars="200"/>
            </w:pPr>
            <w:r>
              <w:rPr>
                <w:rFonts w:hint="eastAsia"/>
                <w:lang w:val="en-US" w:eastAsia="zh-CN"/>
              </w:rPr>
              <w:t>组织的货物基本</w:t>
            </w:r>
            <w:r>
              <w:rPr>
                <w:rFonts w:hint="eastAsia"/>
              </w:rPr>
              <w:t>采用</w:t>
            </w:r>
            <w:r>
              <w:rPr>
                <w:rFonts w:hint="eastAsia"/>
                <w:lang w:val="en-US" w:eastAsia="zh-CN"/>
              </w:rPr>
              <w:t>叉车</w:t>
            </w:r>
            <w:r>
              <w:rPr>
                <w:rFonts w:hint="eastAsia"/>
              </w:rPr>
              <w:t>搬运，小心轻放，满足搬运要求，要求</w:t>
            </w:r>
            <w:r>
              <w:rPr>
                <w:rFonts w:hint="eastAsia"/>
                <w:lang w:val="en-US" w:eastAsia="zh-CN"/>
              </w:rPr>
              <w:t>运输</w:t>
            </w:r>
            <w:r>
              <w:rPr>
                <w:rFonts w:hint="eastAsia"/>
              </w:rPr>
              <w:t>稳准、放置平整防滚动等。</w:t>
            </w:r>
          </w:p>
          <w:p>
            <w:pPr>
              <w:bidi w:val="0"/>
              <w:ind w:firstLine="420" w:firstLineChars="200"/>
            </w:pPr>
            <w:r>
              <w:rPr>
                <w:rFonts w:hint="eastAsia"/>
              </w:rPr>
              <w:t>储存环境没有其他特殊要求，</w:t>
            </w:r>
          </w:p>
          <w:p>
            <w:pPr>
              <w:bidi w:val="0"/>
              <w:ind w:firstLine="420" w:firstLineChars="200"/>
            </w:pPr>
            <w:r>
              <w:rPr>
                <w:rFonts w:hint="eastAsia"/>
                <w:lang w:val="en-US" w:eastAsia="zh-CN"/>
              </w:rPr>
              <w:t>除覆盖塑料薄膜防尘防脏外，组织</w:t>
            </w:r>
            <w:r>
              <w:rPr>
                <w:rFonts w:hint="eastAsia"/>
              </w:rPr>
              <w:t>产品无</w:t>
            </w:r>
            <w:r>
              <w:rPr>
                <w:rFonts w:hint="eastAsia"/>
                <w:lang w:val="en-US" w:eastAsia="zh-CN"/>
              </w:rPr>
              <w:t>其它特殊</w:t>
            </w:r>
            <w:r>
              <w:rPr>
                <w:rFonts w:hint="eastAsia"/>
              </w:rPr>
              <w:t>包装要求</w:t>
            </w:r>
            <w:r>
              <w:rPr>
                <w:rFonts w:hint="eastAsia"/>
                <w:lang w:eastAsia="zh-CN"/>
              </w:rPr>
              <w:t>。</w:t>
            </w:r>
            <w:r>
              <w:rPr>
                <w:rFonts w:hint="eastAsia"/>
                <w:lang w:val="en-US" w:eastAsia="zh-CN"/>
              </w:rPr>
              <w:t>根据顾客要求采用纸箱或其它更简单的方式包装</w:t>
            </w:r>
            <w:r>
              <w:rPr>
                <w:rFonts w:hint="eastAsia"/>
              </w:rPr>
              <w:t>。</w:t>
            </w:r>
          </w:p>
          <w:p>
            <w:pPr>
              <w:bidi w:val="0"/>
              <w:ind w:firstLine="420" w:firstLineChars="200"/>
              <w:rPr>
                <w:rFonts w:hint="eastAsia" w:eastAsia="华文细黑"/>
                <w:lang w:eastAsia="zh-CN"/>
              </w:rPr>
            </w:pPr>
            <w:r>
              <w:rPr>
                <w:rFonts w:hint="eastAsia"/>
                <w:lang w:val="en-US" w:eastAsia="zh-CN"/>
              </w:rPr>
              <w:t>目前未</w:t>
            </w:r>
            <w:r>
              <w:rPr>
                <w:rFonts w:hint="eastAsia"/>
              </w:rPr>
              <w:t>出现因防护不当产生的不合格品</w:t>
            </w:r>
            <w:r>
              <w:rPr>
                <w:rFonts w:hint="eastAsia"/>
                <w:lang w:eastAsia="zh-CN"/>
              </w:rPr>
              <w:t>。</w:t>
            </w:r>
          </w:p>
        </w:tc>
        <w:tc>
          <w:tcPr>
            <w:tcW w:w="1652" w:type="dxa"/>
          </w:tcPr>
          <w:p>
            <w:pPr>
              <w:bidi w:val="0"/>
              <w:rPr>
                <w:rFonts w:ascii="楷体" w:hAnsi="楷体" w:eastAsia="楷体"/>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eastAsia="华文细黑"/>
                <w:lang w:val="en-US" w:eastAsia="zh-CN"/>
              </w:rPr>
            </w:pPr>
            <w:r>
              <w:rPr>
                <w:rFonts w:hint="eastAsia"/>
                <w:lang w:val="en-US" w:eastAsia="zh-CN"/>
              </w:rPr>
              <w:t>环境与安全运行策划与控制</w:t>
            </w:r>
          </w:p>
        </w:tc>
        <w:tc>
          <w:tcPr>
            <w:tcW w:w="840" w:type="dxa"/>
          </w:tcPr>
          <w:p>
            <w:pPr>
              <w:bidi w:val="0"/>
              <w:rPr>
                <w:rFonts w:hint="default"/>
                <w:lang w:val="en-US" w:eastAsia="zh-CN"/>
              </w:rPr>
            </w:pPr>
            <w:r>
              <w:rPr>
                <w:rFonts w:hint="eastAsia"/>
                <w:lang w:val="en-US" w:eastAsia="zh-CN"/>
              </w:rPr>
              <w:t>EO8.1</w:t>
            </w:r>
          </w:p>
        </w:tc>
        <w:tc>
          <w:tcPr>
            <w:tcW w:w="10520" w:type="dxa"/>
          </w:tcPr>
          <w:p>
            <w:pPr>
              <w:bidi w:val="0"/>
              <w:ind w:firstLine="420" w:firstLineChars="200"/>
              <w:rPr>
                <w:rFonts w:hint="eastAsia"/>
                <w:lang w:val="en-GB" w:eastAsia="zh-CN"/>
              </w:rPr>
            </w:pPr>
            <w:r>
              <w:rPr>
                <w:rFonts w:hint="eastAsia"/>
                <w:lang w:val="en-US" w:eastAsia="zh-CN"/>
              </w:rPr>
              <w:t>计划部活动依据的运行策划与控制准则包括《环境运行控制程序》、《职业健康安全运行控制程序》、《环境管理制度》、《安全管理制度》等。</w:t>
            </w:r>
            <w:r>
              <w:rPr>
                <w:rFonts w:hint="eastAsia"/>
                <w:lang w:val="en-GB" w:eastAsia="zh-CN"/>
              </w:rPr>
              <w:t>运行控制情况</w:t>
            </w:r>
            <w:r>
              <w:rPr>
                <w:rFonts w:hint="eastAsia"/>
                <w:lang w:val="en-US" w:eastAsia="zh-CN"/>
              </w:rPr>
              <w:t>如下</w:t>
            </w:r>
            <w:r>
              <w:rPr>
                <w:rFonts w:hint="eastAsia"/>
                <w:lang w:val="en-GB" w:eastAsia="zh-CN"/>
              </w:rPr>
              <w:t>：</w:t>
            </w:r>
          </w:p>
          <w:p>
            <w:pPr>
              <w:numPr>
                <w:ilvl w:val="0"/>
                <w:numId w:val="0"/>
              </w:numPr>
              <w:bidi w:val="0"/>
              <w:ind w:firstLine="420" w:firstLineChars="200"/>
              <w:rPr>
                <w:rFonts w:hint="eastAsia"/>
                <w:lang w:val="en-US" w:eastAsia="zh-CN"/>
              </w:rPr>
            </w:pPr>
            <w:r>
              <w:rPr>
                <w:rFonts w:hint="eastAsia"/>
                <w:lang w:val="en-US" w:eastAsia="zh-CN"/>
              </w:rPr>
              <w:t>1.固体废物</w:t>
            </w:r>
          </w:p>
          <w:p>
            <w:pPr>
              <w:numPr>
                <w:ilvl w:val="0"/>
                <w:numId w:val="0"/>
              </w:numPr>
              <w:bidi w:val="0"/>
              <w:ind w:firstLine="420" w:firstLineChars="200"/>
              <w:rPr>
                <w:rFonts w:hint="default"/>
                <w:lang w:val="en-US" w:eastAsia="zh-CN"/>
              </w:rPr>
            </w:pPr>
            <w:r>
              <w:rPr>
                <w:rFonts w:hint="eastAsia"/>
                <w:lang w:val="en-US" w:eastAsia="zh-CN"/>
              </w:rPr>
              <w:t>为一般固废，依据行政部要求执行。</w:t>
            </w:r>
          </w:p>
          <w:p>
            <w:pPr>
              <w:bidi w:val="0"/>
              <w:ind w:firstLine="420" w:firstLineChars="200"/>
              <w:rPr>
                <w:rFonts w:hint="default"/>
                <w:lang w:val="en-US" w:eastAsia="zh-CN"/>
              </w:rPr>
            </w:pPr>
            <w:r>
              <w:rPr>
                <w:rFonts w:hint="eastAsia"/>
                <w:lang w:val="en-US" w:eastAsia="zh-CN"/>
              </w:rPr>
              <w:t>2.废水、废气、噪声</w:t>
            </w:r>
          </w:p>
          <w:p>
            <w:pPr>
              <w:bidi w:val="0"/>
              <w:ind w:firstLine="420" w:firstLineChars="200"/>
              <w:rPr>
                <w:rFonts w:hint="eastAsia"/>
                <w:lang w:val="en-US" w:eastAsia="zh-CN"/>
              </w:rPr>
            </w:pPr>
            <w:r>
              <w:rPr>
                <w:rFonts w:hint="eastAsia"/>
                <w:lang w:val="en-US" w:eastAsia="zh-CN"/>
              </w:rPr>
              <w:t>主要为生活废水等，依行政部统一达标排放要求执行。</w:t>
            </w:r>
          </w:p>
          <w:p>
            <w:pPr>
              <w:bidi w:val="0"/>
              <w:ind w:firstLine="420" w:firstLineChars="200"/>
              <w:rPr>
                <w:rFonts w:hint="default"/>
                <w:lang w:val="en-US" w:eastAsia="zh-CN"/>
              </w:rPr>
            </w:pPr>
            <w:r>
              <w:rPr>
                <w:rFonts w:hint="eastAsia"/>
                <w:lang w:val="en-US" w:eastAsia="zh-CN"/>
              </w:rPr>
              <w:t>3.消防控制</w:t>
            </w:r>
          </w:p>
          <w:p>
            <w:pPr>
              <w:bidi w:val="0"/>
              <w:ind w:firstLine="420" w:firstLineChars="200"/>
              <w:rPr>
                <w:rFonts w:hint="eastAsia"/>
                <w:lang w:val="en-GB" w:eastAsia="zh-CN"/>
              </w:rPr>
            </w:pPr>
            <w:r>
              <w:rPr>
                <w:rFonts w:hint="eastAsia"/>
                <w:lang w:val="en-US" w:eastAsia="zh-CN"/>
              </w:rPr>
              <w:t>办公现场灭火器配置充足，并按要求定期检查维护</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lang w:val="en-US" w:eastAsia="zh-CN"/>
              </w:rPr>
              <w:t>符合要求。</w:t>
            </w:r>
          </w:p>
          <w:p>
            <w:pPr>
              <w:bidi w:val="0"/>
              <w:ind w:firstLine="420" w:firstLineChars="200"/>
              <w:rPr>
                <w:rFonts w:hint="default"/>
                <w:lang w:val="en-US" w:eastAsia="zh-CN"/>
              </w:rPr>
            </w:pPr>
            <w:r>
              <w:rPr>
                <w:rFonts w:hint="eastAsia"/>
                <w:lang w:val="en-US" w:eastAsia="zh-CN"/>
              </w:rPr>
              <w:t>4.能资源管控</w:t>
            </w:r>
          </w:p>
          <w:p>
            <w:pPr>
              <w:bidi w:val="0"/>
              <w:ind w:firstLine="420" w:firstLineChars="200"/>
              <w:rPr>
                <w:rFonts w:hint="eastAsia"/>
                <w:lang w:val="en-GB" w:eastAsia="zh-CN"/>
              </w:rPr>
            </w:pPr>
            <w:r>
              <w:rPr>
                <w:rFonts w:hint="eastAsia"/>
                <w:lang w:val="en-GB" w:eastAsia="zh-CN"/>
              </w:rPr>
              <w:t>办公过程注意节约用电，做到人走灯灭，电脑长时间不用时关机，下班前要关闭电源。</w:t>
            </w:r>
          </w:p>
          <w:p>
            <w:pPr>
              <w:numPr>
                <w:ilvl w:val="0"/>
                <w:numId w:val="0"/>
              </w:numPr>
              <w:bidi w:val="0"/>
              <w:ind w:firstLine="420" w:firstLineChars="200"/>
              <w:rPr>
                <w:rFonts w:hint="eastAsia"/>
                <w:lang w:val="en-US" w:eastAsia="zh-CN"/>
              </w:rPr>
            </w:pPr>
            <w:r>
              <w:rPr>
                <w:rFonts w:hint="eastAsia"/>
                <w:lang w:val="en-US" w:eastAsia="zh-CN"/>
              </w:rPr>
              <w:t>5.触电</w:t>
            </w:r>
          </w:p>
          <w:p>
            <w:pPr>
              <w:numPr>
                <w:ilvl w:val="0"/>
                <w:numId w:val="0"/>
              </w:numPr>
              <w:bidi w:val="0"/>
              <w:ind w:firstLine="420" w:firstLineChars="200"/>
              <w:rPr>
                <w:rFonts w:hint="eastAsia"/>
                <w:lang w:eastAsia="zh-CN"/>
              </w:rPr>
            </w:pPr>
            <w:r>
              <w:rPr>
                <w:rFonts w:hint="eastAsia"/>
                <w:lang w:val="en-US" w:eastAsia="zh-CN"/>
              </w:rPr>
              <w:t>办公过程使用的电器如：空调、电脑、灯具均符合安全设计要求，使用过程注意安全，预防触电，工作时间平均每天8小时，符合劳动法的规定要求。</w:t>
            </w:r>
          </w:p>
          <w:p>
            <w:pPr>
              <w:bidi w:val="0"/>
              <w:ind w:firstLine="420" w:firstLineChars="200"/>
              <w:rPr>
                <w:rFonts w:hint="eastAsia"/>
                <w:lang w:val="en-US" w:eastAsia="zh-CN"/>
              </w:rPr>
            </w:pPr>
            <w:r>
              <w:rPr>
                <w:rFonts w:hint="eastAsia"/>
              </w:rPr>
              <w:t>环保和职业健康安全防护方面的控制管理基本有效。</w:t>
            </w:r>
          </w:p>
        </w:tc>
        <w:tc>
          <w:tcPr>
            <w:tcW w:w="1652" w:type="dxa"/>
          </w:tcPr>
          <w:p>
            <w:pPr>
              <w:bidi w:val="0"/>
              <w:rPr>
                <w:rFonts w:hint="default" w:ascii="楷体" w:hAnsi="楷体" w:eastAsia="楷体"/>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7" w:type="dxa"/>
          </w:tcPr>
          <w:p>
            <w:pPr>
              <w:bidi w:val="0"/>
              <w:rPr>
                <w:rFonts w:hint="default" w:eastAsia="华文细黑"/>
                <w:lang w:val="en-US" w:eastAsia="zh-CN"/>
              </w:rPr>
            </w:pPr>
            <w:r>
              <w:rPr>
                <w:rFonts w:hint="eastAsia"/>
                <w:lang w:val="en-US" w:eastAsia="zh-CN"/>
              </w:rPr>
              <w:t>应急准备与响应</w:t>
            </w:r>
          </w:p>
        </w:tc>
        <w:tc>
          <w:tcPr>
            <w:tcW w:w="840" w:type="dxa"/>
          </w:tcPr>
          <w:p>
            <w:pPr>
              <w:bidi w:val="0"/>
              <w:rPr>
                <w:rFonts w:hint="default"/>
                <w:lang w:val="en-US" w:eastAsia="zh-CN"/>
              </w:rPr>
            </w:pPr>
            <w:r>
              <w:rPr>
                <w:rFonts w:hint="eastAsia"/>
                <w:lang w:val="en-US" w:eastAsia="zh-CN"/>
              </w:rPr>
              <w:t>EO8.2</w:t>
            </w:r>
          </w:p>
        </w:tc>
        <w:tc>
          <w:tcPr>
            <w:tcW w:w="10520" w:type="dxa"/>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6</w:t>
            </w:r>
            <w:r>
              <w:rPr>
                <w:rFonts w:hint="eastAsia" w:ascii="Times New Roman" w:hAnsi="Times New Roman" w:cs="Times New Roman"/>
                <w:lang w:val="en-US" w:eastAsia="zh-CN"/>
              </w:rPr>
              <w:t>月8日举行的消防演练记录，内容包括《消防演习方案》、《消防演习签到表》、《消防安全培训总结》和演习过程的图片记录。方案内容包括时间、范围、目的、参与人员、指挥小组成员、演习程序及相关要求，图片记录基本完整，整个演练过程涉及的生产安全培训教材基本覆盖了重要环境因素和重要危险源的内容，对相关重要问题和关键节点作了总结，符合控制要求。</w:t>
            </w:r>
          </w:p>
          <w:p>
            <w:pPr>
              <w:bidi w:val="0"/>
              <w:rPr>
                <w:rFonts w:hint="default"/>
                <w:lang w:val="en-US" w:eastAsia="zh-CN"/>
              </w:rPr>
            </w:pPr>
            <w:r>
              <w:rPr>
                <w:rFonts w:hint="eastAsia" w:ascii="Times New Roman" w:hAnsi="Times New Roman" w:cs="Times New Roman"/>
                <w:lang w:val="en-US" w:eastAsia="zh-CN"/>
              </w:rPr>
              <w:t xml:space="preserve">    演练记录显示，</w:t>
            </w:r>
            <w:r>
              <w:rPr>
                <w:rFonts w:hint="eastAsia" w:cs="Times New Roman"/>
                <w:lang w:val="en-US" w:eastAsia="zh-CN"/>
              </w:rPr>
              <w:t>计划部</w:t>
            </w:r>
            <w:r>
              <w:rPr>
                <w:rFonts w:hint="eastAsia" w:ascii="Times New Roman" w:hAnsi="Times New Roman" w:cs="Times New Roman"/>
                <w:lang w:val="en-US" w:eastAsia="zh-CN"/>
              </w:rPr>
              <w:t>人员有参加相应的应急演练。</w:t>
            </w:r>
          </w:p>
        </w:tc>
        <w:tc>
          <w:tcPr>
            <w:tcW w:w="1652" w:type="dxa"/>
          </w:tcPr>
          <w:p>
            <w:pPr>
              <w:spacing w:line="360" w:lineRule="auto"/>
              <w:rPr>
                <w:rFonts w:hint="eastAsia" w:ascii="楷体" w:hAnsi="楷体" w:eastAsia="楷体"/>
                <w:sz w:val="24"/>
                <w:szCs w:val="24"/>
                <w:lang w:val="en-US" w:eastAsia="zh-CN"/>
              </w:rPr>
            </w:pPr>
          </w:p>
        </w:tc>
      </w:tr>
    </w:tbl>
    <w:p>
      <w:pPr>
        <w:pStyle w:val="8"/>
        <w:rPr>
          <w:rFonts w:hint="eastAsia"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w:t>
      </w:r>
      <w:r>
        <w:rPr>
          <w:rFonts w:hint="eastAsia" w:ascii="楷体" w:hAnsi="楷体" w:eastAsia="楷体"/>
          <w:sz w:val="24"/>
          <w:szCs w:val="24"/>
          <w:lang w:val="en-US" w:eastAsia="zh-CN"/>
        </w:rPr>
        <w:t>符合标注Y，</w:t>
      </w:r>
      <w:r>
        <w:rPr>
          <w:rFonts w:hint="eastAsia" w:ascii="楷体" w:hAnsi="楷体" w:eastAsia="楷体"/>
          <w:sz w:val="24"/>
          <w:szCs w:val="24"/>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Bdr>
        <w:bottom w:val="none" w:color="auto" w:sz="0" w:space="1"/>
      </w:pBdr>
      <w:spacing w:line="320" w:lineRule="exact"/>
      <w:jc w:val="left"/>
    </w:pP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3E1A"/>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139645E"/>
    <w:rsid w:val="01AC6394"/>
    <w:rsid w:val="029923AD"/>
    <w:rsid w:val="070249CA"/>
    <w:rsid w:val="070320BB"/>
    <w:rsid w:val="074D6470"/>
    <w:rsid w:val="0B847767"/>
    <w:rsid w:val="0D7F2702"/>
    <w:rsid w:val="0D9010D5"/>
    <w:rsid w:val="10315902"/>
    <w:rsid w:val="108219C2"/>
    <w:rsid w:val="14F85025"/>
    <w:rsid w:val="1A536327"/>
    <w:rsid w:val="1B0177FE"/>
    <w:rsid w:val="1B711E5D"/>
    <w:rsid w:val="214D6815"/>
    <w:rsid w:val="222F2D61"/>
    <w:rsid w:val="22924DBF"/>
    <w:rsid w:val="22F0358E"/>
    <w:rsid w:val="24E1554F"/>
    <w:rsid w:val="26FB4305"/>
    <w:rsid w:val="285A0601"/>
    <w:rsid w:val="2977670F"/>
    <w:rsid w:val="2A186A40"/>
    <w:rsid w:val="2A4E4B77"/>
    <w:rsid w:val="2B393932"/>
    <w:rsid w:val="2B4817CA"/>
    <w:rsid w:val="2CAE5D87"/>
    <w:rsid w:val="2D4B7B39"/>
    <w:rsid w:val="2F253AC3"/>
    <w:rsid w:val="2F7E2440"/>
    <w:rsid w:val="2FE64686"/>
    <w:rsid w:val="2FE745A4"/>
    <w:rsid w:val="32420818"/>
    <w:rsid w:val="328D772B"/>
    <w:rsid w:val="32EE7B64"/>
    <w:rsid w:val="3439047A"/>
    <w:rsid w:val="34A240CD"/>
    <w:rsid w:val="36EE7044"/>
    <w:rsid w:val="375E159C"/>
    <w:rsid w:val="38E32D8E"/>
    <w:rsid w:val="39EA712A"/>
    <w:rsid w:val="3D194110"/>
    <w:rsid w:val="3E8D3F69"/>
    <w:rsid w:val="3FCC21A2"/>
    <w:rsid w:val="40EF5C9B"/>
    <w:rsid w:val="415574F3"/>
    <w:rsid w:val="41C12321"/>
    <w:rsid w:val="44A415E2"/>
    <w:rsid w:val="44EA24BB"/>
    <w:rsid w:val="45BA47A2"/>
    <w:rsid w:val="45C30BBF"/>
    <w:rsid w:val="46643706"/>
    <w:rsid w:val="46E85B54"/>
    <w:rsid w:val="47675463"/>
    <w:rsid w:val="47C66890"/>
    <w:rsid w:val="47E72080"/>
    <w:rsid w:val="496260BA"/>
    <w:rsid w:val="4C264E62"/>
    <w:rsid w:val="4FF0324F"/>
    <w:rsid w:val="51B54715"/>
    <w:rsid w:val="53694FBA"/>
    <w:rsid w:val="548E4332"/>
    <w:rsid w:val="553C7275"/>
    <w:rsid w:val="55EC1538"/>
    <w:rsid w:val="55FA646A"/>
    <w:rsid w:val="562B4162"/>
    <w:rsid w:val="569F1F43"/>
    <w:rsid w:val="57DA7034"/>
    <w:rsid w:val="58E40592"/>
    <w:rsid w:val="5A4C042C"/>
    <w:rsid w:val="5AD83C59"/>
    <w:rsid w:val="5C8F63F5"/>
    <w:rsid w:val="5EA12B9A"/>
    <w:rsid w:val="608F2EE2"/>
    <w:rsid w:val="61A614DF"/>
    <w:rsid w:val="68016630"/>
    <w:rsid w:val="6849431D"/>
    <w:rsid w:val="6933212F"/>
    <w:rsid w:val="69534D2B"/>
    <w:rsid w:val="6E056273"/>
    <w:rsid w:val="6F356CFE"/>
    <w:rsid w:val="75D674C1"/>
    <w:rsid w:val="77737208"/>
    <w:rsid w:val="7D087712"/>
    <w:rsid w:val="7E3F2222"/>
    <w:rsid w:val="7E511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0"/>
    <w:unhideWhenUsed/>
    <w:qFormat/>
    <w:uiPriority w:val="99"/>
    <w:pPr>
      <w:spacing w:line="420" w:lineRule="exact"/>
    </w:pPr>
    <w:rPr>
      <w:sz w:val="24"/>
    </w:rPr>
  </w:style>
  <w:style w:type="paragraph" w:styleId="6">
    <w:name w:val="Plain Text"/>
    <w:basedOn w:val="1"/>
    <w:link w:val="21"/>
    <w:qFormat/>
    <w:uiPriority w:val="0"/>
    <w:rPr>
      <w:rFonts w:ascii="宋体" w:hAnsi="Courier New"/>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2"/>
    <w:qFormat/>
    <w:uiPriority w:val="0"/>
    <w:pPr>
      <w:widowControl/>
      <w:jc w:val="center"/>
    </w:pPr>
    <w:rPr>
      <w:rFonts w:ascii="Book Antiqua" w:hAnsi="Book Antiqua"/>
      <w:b/>
      <w:kern w:val="0"/>
      <w:sz w:val="31"/>
      <w:szCs w:val="31"/>
      <w:u w:val="single"/>
      <w:lang w:eastAsia="en-US"/>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3"/>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5"/>
    <w:qFormat/>
    <w:uiPriority w:val="99"/>
    <w:rPr>
      <w:rFonts w:ascii="Times New Roman" w:hAnsi="Times New Roman" w:eastAsia="宋体" w:cs="Times New Roman"/>
      <w:kern w:val="2"/>
      <w:sz w:val="24"/>
    </w:rPr>
  </w:style>
  <w:style w:type="character" w:customStyle="1" w:styleId="21">
    <w:name w:val="纯文本 Char"/>
    <w:basedOn w:val="12"/>
    <w:link w:val="6"/>
    <w:qFormat/>
    <w:uiPriority w:val="0"/>
    <w:rPr>
      <w:rFonts w:ascii="宋体" w:hAnsi="Courier New" w:eastAsia="宋体" w:cs="Times New Roman"/>
      <w:kern w:val="2"/>
      <w:sz w:val="21"/>
    </w:rPr>
  </w:style>
  <w:style w:type="character" w:customStyle="1" w:styleId="22">
    <w:name w:val="标题 Char"/>
    <w:basedOn w:val="12"/>
    <w:link w:val="10"/>
    <w:qFormat/>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1124</Words>
  <Characters>6408</Characters>
  <Lines>53</Lines>
  <Paragraphs>15</Paragraphs>
  <TotalTime>2</TotalTime>
  <ScaleCrop>false</ScaleCrop>
  <LinksUpToDate>false</LinksUpToDate>
  <CharactersWithSpaces>7517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2022-08-13T05:47:02Z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31576308ECD049329699F25A07511506</vt:lpwstr>
  </property>
</Properties>
</file>