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b/>
          <w:bCs/>
          <w:sz w:val="30"/>
          <w:szCs w:val="30"/>
        </w:rPr>
      </w:pPr>
      <w:r>
        <w:rPr>
          <w:b/>
          <w:bCs/>
          <w:sz w:val="30"/>
          <w:szCs w:val="30"/>
        </w:rPr>
        <w:t>附</w:t>
      </w:r>
      <w:r>
        <w:rPr>
          <w:rFonts w:hint="eastAsia"/>
          <w:b/>
          <w:bCs/>
          <w:sz w:val="30"/>
          <w:szCs w:val="30"/>
        </w:rPr>
        <w:t>1</w:t>
      </w:r>
      <w:r>
        <w:rPr>
          <w:b/>
          <w:bCs/>
          <w:sz w:val="30"/>
          <w:szCs w:val="30"/>
        </w:rPr>
        <w:t>：</w:t>
      </w:r>
    </w:p>
    <w:p>
      <w:pPr>
        <w:pStyle w:val="2"/>
        <w:spacing w:line="240" w:lineRule="auto"/>
        <w:jc w:val="center"/>
        <w:rPr>
          <w:b/>
          <w:bCs/>
          <w:snapToGrid w:val="0"/>
          <w:kern w:val="0"/>
          <w:sz w:val="30"/>
          <w:szCs w:val="30"/>
        </w:rPr>
      </w:pPr>
      <w:r>
        <w:rPr>
          <w:rFonts w:hint="eastAsia"/>
          <w:b/>
          <w:sz w:val="30"/>
          <w:szCs w:val="30"/>
        </w:rPr>
        <w:t>柜底层与地面高距离尺寸</w:t>
      </w:r>
      <w:r>
        <w:rPr>
          <w:b/>
          <w:sz w:val="30"/>
          <w:szCs w:val="30"/>
        </w:rPr>
        <w:t>测量过程</w:t>
      </w:r>
      <w:r>
        <w:rPr>
          <w:rFonts w:hint="eastAsia" w:ascii="宋体" w:hAnsi="宋体" w:cs="宋体"/>
          <w:b/>
          <w:bCs/>
          <w:sz w:val="30"/>
          <w:szCs w:val="30"/>
        </w:rPr>
        <w:t>测量</w:t>
      </w:r>
      <w:r>
        <w:rPr>
          <w:rFonts w:hint="eastAsia" w:ascii="宋体" w:hAnsi="宋体" w:cs="宋体"/>
          <w:b/>
          <w:bCs/>
          <w:snapToGrid w:val="0"/>
          <w:kern w:val="0"/>
          <w:sz w:val="30"/>
          <w:szCs w:val="30"/>
        </w:rPr>
        <w:t>不确定评定报告</w:t>
      </w:r>
    </w:p>
    <w:p>
      <w:pPr>
        <w:spacing w:line="360" w:lineRule="auto"/>
        <w:rPr>
          <w:bCs/>
          <w:sz w:val="24"/>
        </w:rPr>
      </w:pPr>
      <w:r>
        <w:rPr>
          <w:bCs/>
          <w:sz w:val="24"/>
        </w:rPr>
        <w:t>1、测量过程</w:t>
      </w:r>
      <w:r>
        <w:rPr>
          <w:sz w:val="24"/>
        </w:rPr>
        <w:br w:type="textWrapping"/>
      </w:r>
      <w:r>
        <w:rPr>
          <w:bCs/>
          <w:sz w:val="24"/>
        </w:rPr>
        <w:t>1.1</w:t>
      </w:r>
      <w:r>
        <w:rPr>
          <w:sz w:val="24"/>
        </w:rPr>
        <w:t>、测量方法：</w:t>
      </w:r>
      <w:r>
        <w:rPr>
          <w:bCs/>
          <w:sz w:val="24"/>
        </w:rPr>
        <w:t xml:space="preserve"> 依据</w:t>
      </w:r>
      <w:r>
        <w:rPr>
          <w:rFonts w:hint="eastAsia"/>
          <w:bCs/>
          <w:color w:val="0D0D0D" w:themeColor="text1" w:themeTint="F2"/>
          <w:sz w:val="24"/>
          <w14:textFill>
            <w14:solidFill>
              <w14:schemeClr w14:val="tx1">
                <w14:lumMod w14:val="95000"/>
                <w14:lumOff w14:val="5000"/>
              </w14:schemeClr>
            </w14:solidFill>
          </w14:textFill>
        </w:rPr>
        <w:t>GB/T3327-2016《家具、柜类主要尺寸》</w:t>
      </w:r>
      <w:r>
        <w:rPr>
          <w:rFonts w:hint="eastAsia"/>
          <w:bCs/>
          <w:sz w:val="24"/>
        </w:rPr>
        <w:t>及</w:t>
      </w:r>
      <w:r>
        <w:rPr>
          <w:color w:val="000000"/>
          <w:sz w:val="24"/>
          <w:shd w:val="clear" w:color="auto" w:fill="FFFFFF"/>
        </w:rPr>
        <w:t>DFCJWZZCL</w:t>
      </w:r>
      <w:r>
        <w:rPr>
          <w:rFonts w:hint="eastAsia"/>
          <w:color w:val="000000"/>
          <w:sz w:val="24"/>
          <w:shd w:val="clear" w:color="auto" w:fill="FFFFFF"/>
        </w:rPr>
        <w:t>-</w:t>
      </w:r>
      <w:r>
        <w:rPr>
          <w:color w:val="000000"/>
          <w:sz w:val="24"/>
          <w:shd w:val="clear" w:color="auto" w:fill="FFFFFF"/>
        </w:rPr>
        <w:t>GF-202001《</w:t>
      </w:r>
      <w:r>
        <w:rPr>
          <w:rFonts w:hint="eastAsia"/>
          <w:sz w:val="24"/>
        </w:rPr>
        <w:t>柜底层与地面高距离尺寸</w:t>
      </w:r>
      <w:r>
        <w:rPr>
          <w:sz w:val="24"/>
        </w:rPr>
        <w:t>测量过程控制规范》</w:t>
      </w:r>
      <w:r>
        <w:rPr>
          <w:bCs/>
          <w:sz w:val="24"/>
        </w:rPr>
        <w:t>。</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1.2、环境条件：常温</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1.3、检测设备：</w:t>
      </w:r>
      <w:r>
        <w:rPr>
          <w:rFonts w:hint="eastAsia"/>
          <w:color w:val="000000" w:themeColor="text1"/>
          <w:sz w:val="24"/>
          <w14:textFill>
            <w14:solidFill>
              <w14:schemeClr w14:val="tx1"/>
            </w14:solidFill>
          </w14:textFill>
        </w:rPr>
        <w:t>钢直</w:t>
      </w:r>
      <w:r>
        <w:rPr>
          <w:sz w:val="24"/>
        </w:rPr>
        <w:t>尺,测量范围（0-</w:t>
      </w:r>
      <w:r>
        <w:rPr>
          <w:rFonts w:hint="eastAsia"/>
          <w:sz w:val="24"/>
          <w:lang w:val="en-US" w:eastAsia="zh-CN"/>
        </w:rPr>
        <w:t>5</w:t>
      </w:r>
      <w:r>
        <w:rPr>
          <w:sz w:val="24"/>
        </w:rPr>
        <w:t>00）</w:t>
      </w:r>
      <w:r>
        <w:rPr>
          <w:rFonts w:hint="eastAsia"/>
          <w:sz w:val="24"/>
        </w:rPr>
        <w:t>m</w:t>
      </w:r>
      <w:r>
        <w:rPr>
          <w:sz w:val="24"/>
        </w:rPr>
        <w:t>m,最大允许误差</w:t>
      </w:r>
      <w:r>
        <w:rPr>
          <w:rFonts w:hint="eastAsia" w:ascii="宋体" w:hAnsi="宋体"/>
          <w:sz w:val="24"/>
        </w:rPr>
        <w:t>±</w:t>
      </w:r>
      <w:r>
        <w:rPr>
          <w:sz w:val="24"/>
        </w:rPr>
        <w:t>0.1</w:t>
      </w:r>
      <w:r>
        <w:rPr>
          <w:rFonts w:hint="eastAsia"/>
          <w:sz w:val="24"/>
          <w:lang w:val="en-US" w:eastAsia="zh-CN"/>
        </w:rPr>
        <w:t>5</w:t>
      </w:r>
      <w:r>
        <w:rPr>
          <w:sz w:val="24"/>
        </w:rPr>
        <w:t>mm,</w:t>
      </w:r>
      <w:r>
        <w:rPr>
          <w:i/>
          <w:iCs/>
          <w:sz w:val="24"/>
        </w:rPr>
        <w:t xml:space="preserve"> U</w:t>
      </w:r>
      <w:r>
        <w:rPr>
          <w:sz w:val="24"/>
        </w:rPr>
        <w:t>=0.0</w:t>
      </w:r>
      <w:r>
        <w:rPr>
          <w:rFonts w:hint="eastAsia"/>
          <w:sz w:val="24"/>
          <w:lang w:val="en-US" w:eastAsia="zh-CN"/>
        </w:rPr>
        <w:t>6</w:t>
      </w:r>
      <w:r>
        <w:rPr>
          <w:sz w:val="24"/>
        </w:rPr>
        <w:t xml:space="preserve">mm, </w:t>
      </w:r>
      <w:r>
        <w:rPr>
          <w:i/>
          <w:iCs/>
          <w:sz w:val="24"/>
        </w:rPr>
        <w:t>k</w:t>
      </w:r>
      <w:r>
        <w:rPr>
          <w:sz w:val="24"/>
        </w:rPr>
        <w:t>=2</w:t>
      </w:r>
      <w:r>
        <w:rPr>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1.4、被测对象：</w:t>
      </w:r>
      <w:r>
        <w:rPr>
          <w:rFonts w:hint="eastAsia"/>
          <w:sz w:val="24"/>
        </w:rPr>
        <w:t>柜底层与地面高距离尺寸＞50mm（+1.5mm/0)</w:t>
      </w:r>
      <w:r>
        <w:rPr>
          <w:color w:val="000000" w:themeColor="text1"/>
          <w:kern w:val="0"/>
          <w:sz w:val="24"/>
          <w14:textFill>
            <w14:solidFill>
              <w14:schemeClr w14:val="tx1"/>
            </w14:solidFill>
          </w14:textFill>
        </w:rPr>
        <w:t>。</w:t>
      </w:r>
    </w:p>
    <w:p>
      <w:pPr>
        <w:spacing w:line="360" w:lineRule="auto"/>
        <w:ind w:left="480" w:hanging="480" w:hangingChars="200"/>
        <w:rPr>
          <w:b/>
          <w:bCs/>
          <w:color w:val="FF0000"/>
          <w:sz w:val="24"/>
        </w:rPr>
      </w:pPr>
      <w:r>
        <w:rPr>
          <w:color w:val="000000" w:themeColor="text1"/>
          <w:sz w:val="24"/>
          <w14:textFill>
            <w14:solidFill>
              <w14:schemeClr w14:val="tx1"/>
            </w14:solidFill>
          </w14:textFill>
        </w:rPr>
        <w:t>1.5、测量过程：</w:t>
      </w:r>
      <w:r>
        <w:rPr>
          <w:rFonts w:hint="eastAsia"/>
          <w:color w:val="000000" w:themeColor="text1"/>
          <w:sz w:val="24"/>
          <w14:textFill>
            <w14:solidFill>
              <w14:schemeClr w14:val="tx1"/>
            </w14:solidFill>
          </w14:textFill>
        </w:rPr>
        <w:t>用钢直尺对</w:t>
      </w:r>
      <w:r>
        <w:rPr>
          <w:rFonts w:hint="eastAsia"/>
          <w:sz w:val="24"/>
        </w:rPr>
        <w:t>柜底层与地面高距离</w:t>
      </w:r>
      <w:r>
        <w:rPr>
          <w:sz w:val="24"/>
        </w:rPr>
        <w:t>开始测量，读取</w:t>
      </w:r>
      <w:r>
        <w:rPr>
          <w:rFonts w:hint="eastAsia"/>
          <w:sz w:val="24"/>
        </w:rPr>
        <w:t>钢直尺</w:t>
      </w:r>
      <w:r>
        <w:rPr>
          <w:sz w:val="24"/>
        </w:rPr>
        <w:t>的</w:t>
      </w:r>
      <w:r>
        <w:rPr>
          <w:rFonts w:hint="eastAsia"/>
          <w:sz w:val="24"/>
        </w:rPr>
        <w:t>读数</w:t>
      </w:r>
      <w:r>
        <w:rPr>
          <w:sz w:val="24"/>
        </w:rPr>
        <w:t>即为</w:t>
      </w:r>
      <w:r>
        <w:rPr>
          <w:rFonts w:hint="eastAsia"/>
          <w:sz w:val="24"/>
        </w:rPr>
        <w:t>距离</w:t>
      </w:r>
      <w:r>
        <w:rPr>
          <w:sz w:val="24"/>
        </w:rPr>
        <w:t>尺寸，记录数据</w:t>
      </w:r>
      <w:r>
        <w:rPr>
          <w:bCs/>
          <w:sz w:val="24"/>
        </w:rPr>
        <w:t>。</w:t>
      </w:r>
    </w:p>
    <w:p>
      <w:pPr>
        <w:pStyle w:val="7"/>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pPr>
        <w:autoSpaceDE w:val="0"/>
        <w:autoSpaceDN w:val="0"/>
        <w:spacing w:line="360" w:lineRule="auto"/>
        <w:ind w:firstLine="1320" w:firstLineChars="550"/>
        <w:rPr>
          <w:sz w:val="24"/>
        </w:rPr>
      </w:pPr>
      <w:r>
        <w:rPr>
          <w:sz w:val="24"/>
        </w:rPr>
        <w:t xml:space="preserve">   </w:t>
      </w:r>
      <m:oMath>
        <m:r>
          <m:rPr/>
          <w:rPr>
            <w:rFonts w:ascii="Cambria Math" w:hAnsi="Cambria Math"/>
            <w:position w:val="-4"/>
            <w:sz w:val="24"/>
          </w:rPr>
          <m:t>ΔL=L</m:t>
        </m:r>
      </m:oMath>
      <w:r>
        <w:rPr>
          <w:sz w:val="24"/>
        </w:rPr>
        <w:t xml:space="preserve">                                     </w:t>
      </w:r>
    </w:p>
    <w:p>
      <w:pPr>
        <w:spacing w:line="360" w:lineRule="auto"/>
        <w:ind w:firstLine="720" w:firstLineChars="300"/>
        <w:rPr>
          <w:sz w:val="24"/>
        </w:rPr>
      </w:pPr>
      <w:r>
        <w:rPr>
          <w:sz w:val="24"/>
        </w:rPr>
        <w:t>式中：</w:t>
      </w:r>
      <m:oMath>
        <m:r>
          <m:rPr/>
          <w:rPr>
            <w:rFonts w:ascii="Cambria Math" w:hAnsi="Cambria Math"/>
            <w:position w:val="-4"/>
            <w:sz w:val="24"/>
          </w:rPr>
          <m:t>ΔL</m:t>
        </m:r>
      </m:oMath>
      <w:r>
        <w:rPr>
          <w:sz w:val="24"/>
        </w:rPr>
        <w:t xml:space="preserve"> ---</w:t>
      </w:r>
      <w:r>
        <w:rPr>
          <w:kern w:val="0"/>
          <w:sz w:val="24"/>
        </w:rPr>
        <w:t>测量结果</w:t>
      </w:r>
    </w:p>
    <w:p>
      <w:pPr>
        <w:pStyle w:val="7"/>
        <w:spacing w:line="360" w:lineRule="auto"/>
        <w:ind w:firstLine="1440" w:firstLineChars="600"/>
        <w:rPr>
          <w:sz w:val="24"/>
        </w:rPr>
      </w:pPr>
      <w:r>
        <w:rPr>
          <w:sz w:val="24"/>
        </w:rPr>
        <w:t>L-----读数值</w:t>
      </w:r>
    </w:p>
    <w:p>
      <w:pPr>
        <w:numPr>
          <w:ilvl w:val="0"/>
          <w:numId w:val="2"/>
        </w:numPr>
        <w:spacing w:line="360" w:lineRule="auto"/>
        <w:rPr>
          <w:sz w:val="24"/>
        </w:rPr>
      </w:pPr>
      <w:r>
        <w:rPr>
          <w:b/>
          <w:sz w:val="24"/>
        </w:rPr>
        <w:t>输入量的标准不确定度评定</w:t>
      </w:r>
    </w:p>
    <w:p>
      <w:pPr>
        <w:spacing w:line="360" w:lineRule="auto"/>
        <w:ind w:firstLine="616" w:firstLineChars="257"/>
        <w:rPr>
          <w:sz w:val="24"/>
        </w:rPr>
      </w:pPr>
      <w:r>
        <w:rPr>
          <w:sz w:val="24"/>
        </w:rPr>
        <w:t>输入量的不确定度来源主要是：</w:t>
      </w:r>
    </w:p>
    <w:p>
      <w:pPr>
        <w:spacing w:line="360" w:lineRule="auto"/>
        <w:ind w:firstLine="616" w:firstLineChars="257"/>
        <w:rPr>
          <w:b/>
          <w:bCs/>
          <w:sz w:val="24"/>
        </w:rPr>
      </w:pPr>
      <w:r>
        <w:rPr>
          <w:sz w:val="24"/>
        </w:rPr>
        <w:t>a)测量重复性引起的标准不确定度</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oMath>
      <w:r>
        <w:rPr>
          <w:b/>
          <w:bCs/>
          <w:sz w:val="24"/>
        </w:rPr>
        <w:t>；</w:t>
      </w:r>
    </w:p>
    <w:p>
      <w:pPr>
        <w:spacing w:line="360" w:lineRule="auto"/>
        <w:ind w:firstLine="616" w:firstLineChars="257"/>
        <w:rPr>
          <w:bCs/>
          <w:sz w:val="24"/>
        </w:rPr>
      </w:pPr>
      <w:r>
        <w:rPr>
          <w:bCs/>
          <w:sz w:val="24"/>
        </w:rPr>
        <w:t>b)测量设备</w:t>
      </w:r>
      <w:r>
        <w:rPr>
          <w:sz w:val="24"/>
        </w:rPr>
        <w:t>引入的标准不确定度</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oMath>
      <w:r>
        <w:rPr>
          <w:bCs/>
          <w:sz w:val="24"/>
        </w:rPr>
        <w:t>。</w:t>
      </w:r>
    </w:p>
    <w:p>
      <w:pPr>
        <w:spacing w:line="360" w:lineRule="auto"/>
        <w:rPr>
          <w:sz w:val="24"/>
        </w:rPr>
      </w:pPr>
      <w:r>
        <w:rPr>
          <w:sz w:val="24"/>
        </w:rPr>
        <w:t>3.1测量重复性引起的标准不确定度</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oMath>
      <w:r>
        <w:rPr>
          <w:sz w:val="24"/>
        </w:rPr>
        <w:t>的评定</w:t>
      </w:r>
    </w:p>
    <w:p>
      <w:pPr>
        <w:spacing w:line="360" w:lineRule="auto"/>
        <w:ind w:firstLine="480"/>
        <w:rPr>
          <w:sz w:val="24"/>
        </w:rPr>
      </w:pPr>
      <w:r>
        <w:rPr>
          <w:sz w:val="24"/>
        </w:rPr>
        <w:t>输入量测量重复性不确定度的来源主要是测量重复性引起的标准不确定度。</w:t>
      </w:r>
    </w:p>
    <w:p>
      <w:pPr>
        <w:spacing w:line="360" w:lineRule="auto"/>
        <w:ind w:firstLine="480"/>
        <w:rPr>
          <w:sz w:val="24"/>
        </w:rPr>
      </w:pPr>
      <w:r>
        <w:rPr>
          <w:sz w:val="24"/>
        </w:rPr>
        <w:t>做A类评定测量：在钢直尺正常工作状态下，同一组人，用同一支钢直尺，在相临近的时间内，对被测件连续测量10次，得10个测量数据汇于表1：</w:t>
      </w:r>
    </w:p>
    <w:p>
      <w:pPr>
        <w:spacing w:line="360" w:lineRule="auto"/>
        <w:ind w:firstLine="3600" w:firstLineChars="1500"/>
        <w:rPr>
          <w:sz w:val="24"/>
        </w:rPr>
      </w:pPr>
      <w:r>
        <w:rPr>
          <w:sz w:val="24"/>
        </w:rPr>
        <w:t>表1重复性数据</w:t>
      </w:r>
    </w:p>
    <w:tbl>
      <w:tblPr>
        <w:tblStyle w:val="5"/>
        <w:tblpPr w:leftFromText="180" w:rightFromText="180" w:vertAnchor="text" w:horzAnchor="page" w:tblpX="1916" w:tblpY="244"/>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04"/>
        <w:gridCol w:w="1304"/>
        <w:gridCol w:w="1304"/>
        <w:gridCol w:w="130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809" w:type="dxa"/>
            <w:vAlign w:val="center"/>
          </w:tcPr>
          <w:p>
            <w:pPr>
              <w:widowControl/>
              <w:adjustRightInd w:val="0"/>
              <w:spacing w:line="360" w:lineRule="auto"/>
              <w:ind w:firstLine="120" w:firstLineChars="50"/>
              <w:jc w:val="center"/>
              <w:rPr>
                <w:sz w:val="24"/>
              </w:rPr>
            </w:pPr>
            <w:r>
              <w:rPr>
                <w:sz w:val="24"/>
              </w:rPr>
              <w:t>n</w:t>
            </w:r>
          </w:p>
        </w:tc>
        <w:tc>
          <w:tcPr>
            <w:tcW w:w="1304" w:type="dxa"/>
            <w:vAlign w:val="center"/>
          </w:tcPr>
          <w:p>
            <w:pPr>
              <w:widowControl/>
              <w:adjustRightInd w:val="0"/>
              <w:spacing w:line="360" w:lineRule="auto"/>
              <w:ind w:left="237" w:leftChars="113"/>
              <w:jc w:val="center"/>
              <w:rPr>
                <w:sz w:val="24"/>
              </w:rPr>
            </w:pPr>
            <w:r>
              <w:rPr>
                <w:sz w:val="24"/>
              </w:rPr>
              <w:t>1</w:t>
            </w:r>
          </w:p>
        </w:tc>
        <w:tc>
          <w:tcPr>
            <w:tcW w:w="1304" w:type="dxa"/>
            <w:vAlign w:val="center"/>
          </w:tcPr>
          <w:p>
            <w:pPr>
              <w:widowControl/>
              <w:adjustRightInd w:val="0"/>
              <w:spacing w:line="360" w:lineRule="auto"/>
              <w:ind w:left="237"/>
              <w:jc w:val="center"/>
              <w:rPr>
                <w:sz w:val="24"/>
              </w:rPr>
            </w:pPr>
            <w:r>
              <w:rPr>
                <w:sz w:val="24"/>
              </w:rPr>
              <w:t>2</w:t>
            </w:r>
          </w:p>
        </w:tc>
        <w:tc>
          <w:tcPr>
            <w:tcW w:w="1304" w:type="dxa"/>
            <w:vAlign w:val="center"/>
          </w:tcPr>
          <w:p>
            <w:pPr>
              <w:widowControl/>
              <w:adjustRightInd w:val="0"/>
              <w:spacing w:line="360" w:lineRule="auto"/>
              <w:ind w:left="252"/>
              <w:jc w:val="center"/>
              <w:rPr>
                <w:sz w:val="24"/>
              </w:rPr>
            </w:pPr>
            <w:r>
              <w:rPr>
                <w:sz w:val="24"/>
              </w:rPr>
              <w:t>3</w:t>
            </w:r>
          </w:p>
        </w:tc>
        <w:tc>
          <w:tcPr>
            <w:tcW w:w="1304" w:type="dxa"/>
            <w:vAlign w:val="center"/>
          </w:tcPr>
          <w:p>
            <w:pPr>
              <w:widowControl/>
              <w:adjustRightInd w:val="0"/>
              <w:spacing w:line="360" w:lineRule="auto"/>
              <w:ind w:firstLine="120" w:firstLineChars="50"/>
              <w:jc w:val="center"/>
              <w:rPr>
                <w:sz w:val="24"/>
              </w:rPr>
            </w:pPr>
            <w:r>
              <w:rPr>
                <w:sz w:val="24"/>
              </w:rPr>
              <w:t>4</w:t>
            </w:r>
          </w:p>
        </w:tc>
        <w:tc>
          <w:tcPr>
            <w:tcW w:w="1305" w:type="dxa"/>
            <w:vAlign w:val="center"/>
          </w:tcPr>
          <w:p>
            <w:pPr>
              <w:widowControl/>
              <w:adjustRightInd w:val="0"/>
              <w:spacing w:line="360" w:lineRule="auto"/>
              <w:ind w:left="103" w:leftChars="49" w:firstLine="120" w:firstLineChars="50"/>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09" w:type="dxa"/>
            <w:vAlign w:val="center"/>
          </w:tcPr>
          <w:p>
            <w:pPr>
              <w:widowControl/>
              <w:adjustRightInd w:val="0"/>
              <w:spacing w:line="360" w:lineRule="auto"/>
              <w:jc w:val="center"/>
              <w:rPr>
                <w:sz w:val="24"/>
              </w:rPr>
            </w:pPr>
            <w:r>
              <w:rPr>
                <w:sz w:val="24"/>
              </w:rPr>
              <w:t>L读数值(mm)</w:t>
            </w:r>
          </w:p>
        </w:tc>
        <w:tc>
          <w:tcPr>
            <w:tcW w:w="1304" w:type="dxa"/>
            <w:vAlign w:val="center"/>
          </w:tcPr>
          <w:p>
            <w:pPr>
              <w:widowControl/>
              <w:jc w:val="center"/>
              <w:rPr>
                <w:kern w:val="0"/>
                <w:sz w:val="24"/>
              </w:rPr>
            </w:pPr>
            <w:r>
              <w:t>50. 4</w:t>
            </w:r>
          </w:p>
        </w:tc>
        <w:tc>
          <w:tcPr>
            <w:tcW w:w="1304" w:type="dxa"/>
            <w:vAlign w:val="center"/>
          </w:tcPr>
          <w:p>
            <w:pPr>
              <w:jc w:val="center"/>
            </w:pPr>
            <w:r>
              <w:t>50.4</w:t>
            </w:r>
          </w:p>
        </w:tc>
        <w:tc>
          <w:tcPr>
            <w:tcW w:w="1304" w:type="dxa"/>
            <w:vAlign w:val="center"/>
          </w:tcPr>
          <w:p>
            <w:pPr>
              <w:jc w:val="center"/>
            </w:pPr>
            <w:r>
              <w:t>50.2</w:t>
            </w:r>
          </w:p>
        </w:tc>
        <w:tc>
          <w:tcPr>
            <w:tcW w:w="1304" w:type="dxa"/>
            <w:vAlign w:val="center"/>
          </w:tcPr>
          <w:p>
            <w:pPr>
              <w:jc w:val="center"/>
            </w:pPr>
            <w:r>
              <w:t>50.2</w:t>
            </w:r>
          </w:p>
        </w:tc>
        <w:tc>
          <w:tcPr>
            <w:tcW w:w="1305" w:type="dxa"/>
            <w:vAlign w:val="center"/>
          </w:tcPr>
          <w:p>
            <w:pPr>
              <w:jc w:val="center"/>
            </w:pPr>
            <w: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809" w:type="dxa"/>
            <w:vAlign w:val="center"/>
          </w:tcPr>
          <w:p>
            <w:pPr>
              <w:widowControl/>
              <w:adjustRightInd w:val="0"/>
              <w:spacing w:line="360" w:lineRule="auto"/>
              <w:ind w:firstLine="120" w:firstLineChars="50"/>
              <w:jc w:val="center"/>
              <w:rPr>
                <w:sz w:val="24"/>
              </w:rPr>
            </w:pPr>
            <w:r>
              <w:rPr>
                <w:sz w:val="24"/>
              </w:rPr>
              <w:t>n</w:t>
            </w:r>
          </w:p>
        </w:tc>
        <w:tc>
          <w:tcPr>
            <w:tcW w:w="1304" w:type="dxa"/>
            <w:vAlign w:val="center"/>
          </w:tcPr>
          <w:p>
            <w:pPr>
              <w:widowControl/>
              <w:adjustRightInd w:val="0"/>
              <w:spacing w:line="360" w:lineRule="auto"/>
              <w:ind w:left="237" w:leftChars="113"/>
              <w:jc w:val="center"/>
              <w:rPr>
                <w:sz w:val="24"/>
              </w:rPr>
            </w:pPr>
            <w:r>
              <w:rPr>
                <w:sz w:val="24"/>
              </w:rPr>
              <w:t>6</w:t>
            </w:r>
          </w:p>
        </w:tc>
        <w:tc>
          <w:tcPr>
            <w:tcW w:w="1304" w:type="dxa"/>
            <w:vAlign w:val="center"/>
          </w:tcPr>
          <w:p>
            <w:pPr>
              <w:widowControl/>
              <w:adjustRightInd w:val="0"/>
              <w:spacing w:line="360" w:lineRule="auto"/>
              <w:ind w:left="237"/>
              <w:jc w:val="center"/>
              <w:rPr>
                <w:sz w:val="24"/>
              </w:rPr>
            </w:pPr>
            <w:r>
              <w:rPr>
                <w:sz w:val="24"/>
              </w:rPr>
              <w:t>7</w:t>
            </w:r>
          </w:p>
        </w:tc>
        <w:tc>
          <w:tcPr>
            <w:tcW w:w="1304" w:type="dxa"/>
            <w:vAlign w:val="center"/>
          </w:tcPr>
          <w:p>
            <w:pPr>
              <w:widowControl/>
              <w:adjustRightInd w:val="0"/>
              <w:spacing w:line="360" w:lineRule="auto"/>
              <w:ind w:left="252"/>
              <w:jc w:val="center"/>
              <w:rPr>
                <w:sz w:val="24"/>
              </w:rPr>
            </w:pPr>
            <w:r>
              <w:rPr>
                <w:sz w:val="24"/>
              </w:rPr>
              <w:t>8</w:t>
            </w:r>
          </w:p>
        </w:tc>
        <w:tc>
          <w:tcPr>
            <w:tcW w:w="1304" w:type="dxa"/>
            <w:vAlign w:val="center"/>
          </w:tcPr>
          <w:p>
            <w:pPr>
              <w:widowControl/>
              <w:adjustRightInd w:val="0"/>
              <w:spacing w:line="360" w:lineRule="auto"/>
              <w:ind w:firstLine="120" w:firstLineChars="50"/>
              <w:jc w:val="center"/>
              <w:rPr>
                <w:sz w:val="24"/>
              </w:rPr>
            </w:pPr>
            <w:r>
              <w:rPr>
                <w:sz w:val="24"/>
              </w:rPr>
              <w:t>9</w:t>
            </w:r>
          </w:p>
        </w:tc>
        <w:tc>
          <w:tcPr>
            <w:tcW w:w="1305" w:type="dxa"/>
            <w:vAlign w:val="center"/>
          </w:tcPr>
          <w:p>
            <w:pPr>
              <w:widowControl/>
              <w:adjustRightInd w:val="0"/>
              <w:spacing w:line="360" w:lineRule="auto"/>
              <w:ind w:left="103" w:leftChars="49" w:firstLine="120" w:firstLineChars="50"/>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09" w:type="dxa"/>
            <w:vAlign w:val="center"/>
          </w:tcPr>
          <w:p>
            <w:pPr>
              <w:widowControl/>
              <w:adjustRightInd w:val="0"/>
              <w:spacing w:line="360" w:lineRule="auto"/>
              <w:jc w:val="center"/>
              <w:rPr>
                <w:sz w:val="24"/>
              </w:rPr>
            </w:pPr>
            <w:r>
              <w:rPr>
                <w:sz w:val="24"/>
              </w:rPr>
              <w:t>L读数值(mm)</w:t>
            </w:r>
          </w:p>
        </w:tc>
        <w:tc>
          <w:tcPr>
            <w:tcW w:w="1304" w:type="dxa"/>
            <w:vAlign w:val="center"/>
          </w:tcPr>
          <w:p>
            <w:pPr>
              <w:widowControl/>
              <w:jc w:val="center"/>
              <w:rPr>
                <w:kern w:val="0"/>
                <w:sz w:val="24"/>
              </w:rPr>
            </w:pPr>
            <w:r>
              <w:t>50.4</w:t>
            </w:r>
          </w:p>
        </w:tc>
        <w:tc>
          <w:tcPr>
            <w:tcW w:w="1304" w:type="dxa"/>
            <w:vAlign w:val="center"/>
          </w:tcPr>
          <w:p>
            <w:pPr>
              <w:jc w:val="center"/>
            </w:pPr>
            <w:r>
              <w:t>50.2</w:t>
            </w:r>
          </w:p>
        </w:tc>
        <w:tc>
          <w:tcPr>
            <w:tcW w:w="1304" w:type="dxa"/>
            <w:vAlign w:val="center"/>
          </w:tcPr>
          <w:p>
            <w:pPr>
              <w:jc w:val="center"/>
            </w:pPr>
            <w:r>
              <w:t>50.4</w:t>
            </w:r>
          </w:p>
        </w:tc>
        <w:tc>
          <w:tcPr>
            <w:tcW w:w="1304" w:type="dxa"/>
            <w:vAlign w:val="center"/>
          </w:tcPr>
          <w:p>
            <w:pPr>
              <w:jc w:val="center"/>
            </w:pPr>
            <w:r>
              <w:t>50.2</w:t>
            </w:r>
          </w:p>
        </w:tc>
        <w:tc>
          <w:tcPr>
            <w:tcW w:w="1305" w:type="dxa"/>
            <w:vAlign w:val="center"/>
          </w:tcPr>
          <w:p>
            <w:pPr>
              <w:jc w:val="center"/>
            </w:pPr>
            <w:r>
              <w:t>50.2</w:t>
            </w:r>
          </w:p>
        </w:tc>
      </w:tr>
    </w:tbl>
    <w:p>
      <w:pPr>
        <w:spacing w:line="360" w:lineRule="auto"/>
        <w:ind w:firstLine="720" w:firstLineChars="300"/>
        <w:rPr>
          <w:sz w:val="24"/>
        </w:rPr>
      </w:pPr>
      <w:r>
        <w:rPr>
          <w:sz w:val="24"/>
        </w:rPr>
        <w:t xml:space="preserve">被测试件测量值的平均值： </w:t>
      </w:r>
      <w:r>
        <w:rPr>
          <w:position w:val="-4"/>
          <w:sz w:val="24"/>
        </w:rPr>
        <w:object>
          <v:shape id="_x0000_i1025" o:spt="75" type="#_x0000_t75" style="height:15pt;width:10.3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sz w:val="24"/>
        </w:rPr>
        <w:t xml:space="preserve"> = </w:t>
      </w:r>
      <w:r>
        <w:rPr>
          <w:position w:val="-28"/>
          <w:sz w:val="24"/>
        </w:rPr>
        <w:object>
          <v:shape id="_x0000_i1026" o:spt="75" type="#_x0000_t75" style="height:33.85pt;width:39.8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sz w:val="24"/>
        </w:rPr>
        <w:t xml:space="preserve">=50.267mm </w:t>
      </w:r>
    </w:p>
    <w:p>
      <w:pPr>
        <w:spacing w:line="360" w:lineRule="auto"/>
        <w:ind w:firstLine="720" w:firstLineChars="300"/>
        <w:rPr>
          <w:sz w:val="24"/>
        </w:rPr>
      </w:pPr>
      <w:r>
        <w:rPr>
          <w:color w:val="000000" w:themeColor="text1"/>
          <w:kern w:val="0"/>
          <w:sz w:val="24"/>
          <w14:textFill>
            <w14:solidFill>
              <w14:schemeClr w14:val="tx1"/>
            </w14:solidFill>
          </w14:textFill>
        </w:rPr>
        <w:t>单次重复性测量值的实验标准差</w:t>
      </w:r>
      <w:r>
        <w:rPr>
          <w:kern w:val="0"/>
          <w:sz w:val="24"/>
        </w:rPr>
        <w:t>：</w:t>
      </w:r>
      <w:r>
        <w:rPr>
          <w:sz w:val="24"/>
        </w:rPr>
        <w:t>S=</w:t>
      </w:r>
      <w:r>
        <w:rPr>
          <w:position w:val="-32"/>
          <w:sz w:val="24"/>
        </w:rPr>
        <w:object>
          <v:shape id="_x0000_i1027" o:spt="75" type="#_x0000_t75" style="height:54.85pt;width:71.5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sz w:val="24"/>
        </w:rPr>
        <w:t>=0.1mm</w:t>
      </w:r>
    </w:p>
    <w:p>
      <w:pPr>
        <w:widowControl/>
        <w:tabs>
          <w:tab w:val="center" w:pos="4360"/>
          <w:tab w:val="right" w:pos="8300"/>
        </w:tabs>
        <w:spacing w:line="360" w:lineRule="auto"/>
        <w:ind w:left="420" w:firstLine="36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被测量估计值（</w:t>
      </w:r>
      <m:oMath>
        <m:bar>
          <m:barPr>
            <m:pos m:val="top"/>
            <m:ctrlPr>
              <w:rPr>
                <w:rFonts w:ascii="Cambria Math" w:hAnsi="Cambria Math"/>
                <w:i/>
                <w:color w:val="000000" w:themeColor="text1"/>
                <w:kern w:val="0"/>
                <w:sz w:val="24"/>
                <w14:textFill>
                  <w14:solidFill>
                    <w14:schemeClr w14:val="tx1"/>
                  </w14:solidFill>
                </w14:textFill>
              </w:rPr>
            </m:ctrlPr>
          </m:barPr>
          <m:e>
            <m:r>
              <m:rPr/>
              <w:rPr>
                <w:rFonts w:ascii="Cambria Math" w:hAnsi="Cambria Math"/>
                <w:color w:val="000000" w:themeColor="text1"/>
                <w:kern w:val="0"/>
                <w:sz w:val="24"/>
                <w14:textFill>
                  <w14:solidFill>
                    <w14:schemeClr w14:val="tx1"/>
                  </w14:solidFill>
                </w14:textFill>
              </w:rPr>
              <m:t>L</m:t>
            </m:r>
            <m:ctrlPr>
              <w:rPr>
                <w:rFonts w:ascii="Cambria Math" w:hAnsi="Cambria Math"/>
                <w:i/>
                <w:color w:val="000000" w:themeColor="text1"/>
                <w:kern w:val="0"/>
                <w:sz w:val="24"/>
                <w14:textFill>
                  <w14:solidFill>
                    <w14:schemeClr w14:val="tx1"/>
                  </w14:solidFill>
                </w14:textFill>
              </w:rPr>
            </m:ctrlPr>
          </m:e>
        </m:bar>
      </m:oMath>
      <w:r>
        <w:rPr>
          <w:color w:val="000000" w:themeColor="text1"/>
          <w:kern w:val="0"/>
          <w:sz w:val="24"/>
          <w14:textFill>
            <w14:solidFill>
              <w14:schemeClr w14:val="tx1"/>
            </w14:solidFill>
          </w14:textFill>
        </w:rPr>
        <w:t>）标准不确定度分量</w:t>
      </w:r>
      <w:r>
        <w:rPr>
          <w:i/>
          <w:iCs/>
          <w:color w:val="000000" w:themeColor="text1"/>
          <w:sz w:val="24"/>
          <w14:textFill>
            <w14:solidFill>
              <w14:schemeClr w14:val="tx1"/>
            </w14:solidFill>
          </w14:textFill>
        </w:rPr>
        <w:t>u</w:t>
      </w:r>
      <w:r>
        <w:rPr>
          <w:color w:val="000000" w:themeColor="text1"/>
          <w:sz w:val="24"/>
          <w:vertAlign w:val="subscript"/>
          <w14:textFill>
            <w14:solidFill>
              <w14:schemeClr w14:val="tx1"/>
            </w14:solidFill>
          </w14:textFill>
        </w:rPr>
        <w:t>1</w:t>
      </w:r>
      <w:r>
        <w:rPr>
          <w:color w:val="000000" w:themeColor="text1"/>
          <w:kern w:val="0"/>
          <w:sz w:val="24"/>
          <w14:textFill>
            <w14:solidFill>
              <w14:schemeClr w14:val="tx1"/>
            </w14:solidFill>
          </w14:textFill>
        </w:rPr>
        <w:t>：</w:t>
      </w:r>
      <w:bookmarkStart w:id="0" w:name="_Hlk36298355"/>
    </w:p>
    <w:p>
      <w:pPr>
        <w:widowControl/>
        <w:tabs>
          <w:tab w:val="center" w:pos="4360"/>
          <w:tab w:val="right" w:pos="8300"/>
        </w:tabs>
        <w:spacing w:line="360" w:lineRule="auto"/>
        <w:ind w:left="420" w:firstLine="36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w:t>
      </w:r>
      <m:oMath>
        <m:bar>
          <m:barPr>
            <m:pos m:val="top"/>
            <m:ctrlPr>
              <w:rPr>
                <w:rFonts w:ascii="Cambria Math" w:hAnsi="Cambria Math"/>
                <w:i/>
                <w:color w:val="000000" w:themeColor="text1"/>
                <w:kern w:val="0"/>
                <w:sz w:val="24"/>
                <w14:textFill>
                  <w14:solidFill>
                    <w14:schemeClr w14:val="tx1"/>
                  </w14:solidFill>
                </w14:textFill>
              </w:rPr>
            </m:ctrlPr>
          </m:barPr>
          <m:e>
            <m:r>
              <m:rPr/>
              <w:rPr>
                <w:rFonts w:ascii="Cambria Math" w:hAnsi="Cambria Math"/>
                <w:color w:val="000000" w:themeColor="text1"/>
                <w:kern w:val="0"/>
                <w:sz w:val="24"/>
                <w14:textFill>
                  <w14:solidFill>
                    <w14:schemeClr w14:val="tx1"/>
                  </w14:solidFill>
                </w14:textFill>
              </w:rPr>
              <m:t>L</m:t>
            </m:r>
            <m:ctrlPr>
              <w:rPr>
                <w:rFonts w:ascii="Cambria Math" w:hAnsi="Cambria Math"/>
                <w:i/>
                <w:color w:val="000000" w:themeColor="text1"/>
                <w:kern w:val="0"/>
                <w:sz w:val="24"/>
                <w14:textFill>
                  <w14:solidFill>
                    <w14:schemeClr w14:val="tx1"/>
                  </w14:solidFill>
                </w14:textFill>
              </w:rPr>
            </m:ctrlPr>
          </m:e>
        </m:bar>
      </m:oMath>
      <w:r>
        <w:rPr>
          <w:color w:val="000000" w:themeColor="text1"/>
          <w:kern w:val="0"/>
          <w:sz w:val="24"/>
          <w14:textFill>
            <w14:solidFill>
              <w14:schemeClr w14:val="tx1"/>
            </w14:solidFill>
          </w14:textFill>
        </w:rPr>
        <w:t>为1组数据的平均值，取n=1）</w:t>
      </w:r>
    </w:p>
    <w:bookmarkEnd w:id="0"/>
    <w:p>
      <w:pPr>
        <w:widowControl/>
        <w:tabs>
          <w:tab w:val="center" w:pos="4360"/>
          <w:tab w:val="right" w:pos="8300"/>
        </w:tabs>
        <w:spacing w:line="360" w:lineRule="auto"/>
        <w:ind w:left="420" w:firstLine="360"/>
        <w:rPr>
          <w:color w:val="0D0D0D" w:themeColor="text1" w:themeTint="F2"/>
          <w:sz w:val="24"/>
          <w14:textFill>
            <w14:solidFill>
              <w14:schemeClr w14:val="tx1">
                <w14:lumMod w14:val="95000"/>
                <w14:lumOff w14:val="5000"/>
              </w14:schemeClr>
            </w14:solidFill>
          </w14:textFill>
        </w:rPr>
      </w:pPr>
      <w:r>
        <w:rPr>
          <w:kern w:val="0"/>
          <w:sz w:val="24"/>
        </w:rPr>
        <w:t>标准不确定度分量：</w:t>
      </w:r>
      <w:r>
        <w:rPr>
          <w:color w:val="0D0D0D" w:themeColor="text1" w:themeTint="F2"/>
          <w:kern w:val="0"/>
          <w:sz w:val="24"/>
          <w14:textFill>
            <w14:solidFill>
              <w14:schemeClr w14:val="tx1">
                <w14:lumMod w14:val="95000"/>
                <w14:lumOff w14:val="5000"/>
              </w14:schemeClr>
            </w14:solidFill>
          </w14:textFill>
        </w:rPr>
        <w:t xml:space="preserve"> </w:t>
      </w:r>
      <m:oMath>
        <m:sSub>
          <m:sSubPr>
            <m:ctrlPr>
              <w:rPr>
                <w:rFonts w:ascii="Cambria Math" w:hAnsi="Cambria Math"/>
                <w:i/>
                <w:color w:val="0D0D0D" w:themeColor="text1" w:themeTint="F2"/>
                <w:kern w:val="0"/>
                <w:sz w:val="24"/>
                <w14:textFill>
                  <w14:solidFill>
                    <w14:schemeClr w14:val="tx1">
                      <w14:lumMod w14:val="95000"/>
                      <w14:lumOff w14:val="5000"/>
                    </w14:schemeClr>
                  </w14:solidFill>
                </w14:textFill>
              </w:rPr>
            </m:ctrlPr>
          </m:sSubPr>
          <m:e>
            <m:r>
              <m:rPr/>
              <w:rPr>
                <w:rFonts w:ascii="Cambria Math" w:hAnsi="Cambria Math"/>
                <w:color w:val="0D0D0D" w:themeColor="text1" w:themeTint="F2"/>
                <w:kern w:val="0"/>
                <w:sz w:val="24"/>
                <w14:textFill>
                  <w14:solidFill>
                    <w14:schemeClr w14:val="tx1">
                      <w14:lumMod w14:val="95000"/>
                      <w14:lumOff w14:val="5000"/>
                    </w14:schemeClr>
                  </w14:solidFill>
                </w14:textFill>
              </w:rPr>
              <m:t>u</m:t>
            </m:r>
            <m:ctrlPr>
              <w:rPr>
                <w:rFonts w:ascii="Cambria Math" w:hAnsi="Cambria Math"/>
                <w:i/>
                <w:color w:val="0D0D0D" w:themeColor="text1" w:themeTint="F2"/>
                <w:kern w:val="0"/>
                <w:sz w:val="24"/>
                <w14:textFill>
                  <w14:solidFill>
                    <w14:schemeClr w14:val="tx1">
                      <w14:lumMod w14:val="95000"/>
                      <w14:lumOff w14:val="5000"/>
                    </w14:schemeClr>
                  </w14:solidFill>
                </w14:textFill>
              </w:rPr>
            </m:ctrlPr>
          </m:e>
          <m:sub>
            <m:r>
              <m:rPr/>
              <w:rPr>
                <w:rFonts w:ascii="Cambria Math" w:hAnsi="Cambria Math"/>
                <w:color w:val="0D0D0D" w:themeColor="text1" w:themeTint="F2"/>
                <w:kern w:val="0"/>
                <w:sz w:val="24"/>
                <w14:textFill>
                  <w14:solidFill>
                    <w14:schemeClr w14:val="tx1">
                      <w14:lumMod w14:val="95000"/>
                      <w14:lumOff w14:val="5000"/>
                    </w14:schemeClr>
                  </w14:solidFill>
                </w14:textFill>
              </w:rPr>
              <m:t>1</m:t>
            </m:r>
            <m:ctrlPr>
              <w:rPr>
                <w:rFonts w:ascii="Cambria Math" w:hAnsi="Cambria Math"/>
                <w:i/>
                <w:color w:val="0D0D0D" w:themeColor="text1" w:themeTint="F2"/>
                <w:kern w:val="0"/>
                <w:sz w:val="24"/>
                <w14:textFill>
                  <w14:solidFill>
                    <w14:schemeClr w14:val="tx1">
                      <w14:lumMod w14:val="95000"/>
                      <w14:lumOff w14:val="5000"/>
                    </w14:schemeClr>
                  </w14:solidFill>
                </w14:textFill>
              </w:rPr>
            </m:ctrlPr>
          </m:sub>
        </m:sSub>
      </m:oMath>
      <w:r>
        <w:rPr>
          <w:color w:val="0D0D0D" w:themeColor="text1" w:themeTint="F2"/>
          <w:kern w:val="0"/>
          <w:sz w:val="24"/>
          <w14:textFill>
            <w14:solidFill>
              <w14:schemeClr w14:val="tx1">
                <w14:lumMod w14:val="95000"/>
                <w14:lumOff w14:val="5000"/>
              </w14:schemeClr>
            </w14:solidFill>
          </w14:textFill>
        </w:rPr>
        <w:t>=S=0.1m</w:t>
      </w:r>
      <w:r>
        <w:rPr>
          <w:sz w:val="24"/>
        </w:rPr>
        <w:t xml:space="preserve">m                                 </w:t>
      </w:r>
    </w:p>
    <w:p>
      <w:pPr>
        <w:widowControl/>
        <w:tabs>
          <w:tab w:val="center" w:pos="4360"/>
          <w:tab w:val="right" w:pos="8300"/>
        </w:tabs>
        <w:spacing w:line="360" w:lineRule="auto"/>
        <w:rPr>
          <w:kern w:val="0"/>
          <w:sz w:val="24"/>
          <w:vertAlign w:val="subscript"/>
        </w:rPr>
      </w:pPr>
      <w:r>
        <w:rPr>
          <w:kern w:val="0"/>
          <w:sz w:val="24"/>
        </w:rPr>
        <w:t>3.2、</w:t>
      </w:r>
      <w:r>
        <w:rPr>
          <w:sz w:val="24"/>
        </w:rPr>
        <w:t>测量设备示值误差引入的</w:t>
      </w:r>
      <w:r>
        <w:rPr>
          <w:kern w:val="0"/>
          <w:sz w:val="24"/>
        </w:rPr>
        <w:t>不确定度影响分量</w:t>
      </w:r>
      <m:oMath>
        <m:sSub>
          <m:sSubPr>
            <m:ctrlPr>
              <w:rPr>
                <w:rFonts w:ascii="Cambria Math" w:hAnsi="Cambria Math"/>
                <w:i/>
                <w:kern w:val="0"/>
                <w:sz w:val="24"/>
              </w:rPr>
            </m:ctrlPr>
          </m:sSubPr>
          <m:e>
            <m:r>
              <m:rPr/>
              <w:rPr>
                <w:rFonts w:ascii="Cambria Math" w:hAnsi="Cambria Math"/>
                <w:kern w:val="0"/>
                <w:sz w:val="24"/>
              </w:rPr>
              <m:t>u</m:t>
            </m:r>
            <m:ctrlPr>
              <w:rPr>
                <w:rFonts w:ascii="Cambria Math" w:hAnsi="Cambria Math"/>
                <w:i/>
                <w:kern w:val="0"/>
                <w:sz w:val="24"/>
              </w:rPr>
            </m:ctrlPr>
          </m:e>
          <m:sub>
            <m:r>
              <m:rPr/>
              <w:rPr>
                <w:rFonts w:ascii="Cambria Math" w:hAnsi="Cambria Math"/>
                <w:kern w:val="0"/>
                <w:sz w:val="24"/>
              </w:rPr>
              <m:t>2</m:t>
            </m:r>
            <m:ctrlPr>
              <w:rPr>
                <w:rFonts w:ascii="Cambria Math" w:hAnsi="Cambria Math"/>
                <w:i/>
                <w:kern w:val="0"/>
                <w:sz w:val="24"/>
              </w:rPr>
            </m:ctrlPr>
          </m:sub>
        </m:sSub>
      </m:oMath>
    </w:p>
    <w:p>
      <w:pPr>
        <w:spacing w:line="360" w:lineRule="auto"/>
        <w:ind w:firstLine="480" w:firstLineChars="200"/>
        <w:rPr>
          <w:sz w:val="24"/>
        </w:rPr>
      </w:pPr>
      <w:r>
        <w:rPr>
          <w:sz w:val="24"/>
        </w:rPr>
        <w:t>钢直尺示值误差为±0.1</w:t>
      </w:r>
      <w:r>
        <w:rPr>
          <w:rFonts w:hint="eastAsia"/>
          <w:sz w:val="24"/>
          <w:lang w:val="en-US" w:eastAsia="zh-CN"/>
        </w:rPr>
        <w:t>5</w:t>
      </w:r>
      <w:r>
        <w:rPr>
          <w:sz w:val="24"/>
        </w:rPr>
        <w:t>mm，服从均匀分布，半宽为0.1</w:t>
      </w:r>
      <w:r>
        <w:rPr>
          <w:rFonts w:hint="eastAsia"/>
          <w:sz w:val="24"/>
          <w:lang w:val="en-US" w:eastAsia="zh-CN"/>
        </w:rPr>
        <w:t>5</w:t>
      </w:r>
      <w:r>
        <w:rPr>
          <w:sz w:val="24"/>
        </w:rPr>
        <w:t>mm，取α=</w:t>
      </w:r>
      <m:oMath>
        <m:rad>
          <m:radPr>
            <m:degHide m:val="1"/>
            <m:ctrlPr>
              <w:rPr>
                <w:rFonts w:ascii="Cambria Math" w:hAnsi="Cambria Math"/>
                <w:sz w:val="24"/>
              </w:rPr>
            </m:ctrlPr>
          </m:radPr>
          <m:deg>
            <m:ctrlPr>
              <w:rPr>
                <w:rFonts w:ascii="Cambria Math" w:hAnsi="Cambria Math"/>
                <w:sz w:val="24"/>
              </w:rPr>
            </m:ctrlPr>
          </m:deg>
          <m:e>
            <m:r>
              <m:rPr/>
              <w:rPr>
                <w:rFonts w:ascii="Cambria Math" w:hAnsi="Cambria Math"/>
                <w:sz w:val="24"/>
              </w:rPr>
              <m:t>3</m:t>
            </m:r>
            <m:ctrlPr>
              <w:rPr>
                <w:rFonts w:ascii="Cambria Math" w:hAnsi="Cambria Math"/>
                <w:sz w:val="24"/>
              </w:rPr>
            </m:ctrlPr>
          </m:e>
        </m:rad>
      </m:oMath>
      <w:r>
        <w:rPr>
          <w:sz w:val="24"/>
        </w:rPr>
        <w:t>，则由设备示值误差引入的不确定度分量为：</w:t>
      </w:r>
    </w:p>
    <w:p>
      <w:pPr>
        <w:spacing w:line="360" w:lineRule="auto"/>
        <w:ind w:left="-142" w:firstLine="2980" w:firstLineChars="1242"/>
        <w:rPr>
          <w:i/>
          <w:position w:val="-24"/>
          <w:sz w:val="24"/>
        </w:rPr>
      </w:pPr>
      <m:oMathPara>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0.1</m:t>
              </m:r>
              <m:r>
                <m:rPr/>
                <w:rPr>
                  <w:rFonts w:hint="default" w:ascii="Cambria Math" w:hAnsi="Cambria Math"/>
                  <w:sz w:val="24"/>
                  <w:lang w:val="en-US" w:eastAsia="zh-CN"/>
                </w:rPr>
                <m:t>5</m:t>
              </m:r>
              <m:r>
                <m:rPr/>
                <w:rPr>
                  <w:rFonts w:ascii="Cambria Math" w:hAnsi="Cambria Math"/>
                  <w:sz w:val="24"/>
                </w:rPr>
                <m:t>mm</m:t>
              </m:r>
              <m:ctrlPr>
                <w:rPr>
                  <w:rFonts w:ascii="Cambria Math" w:hAnsi="Cambria Math"/>
                  <w:i/>
                  <w:sz w:val="24"/>
                </w:rPr>
              </m:ctrlPr>
            </m:num>
            <m:den>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=0.0</m:t>
          </m:r>
          <m:r>
            <m:rPr/>
            <w:rPr>
              <w:rFonts w:hint="default" w:ascii="Cambria Math" w:hAnsi="Cambria Math"/>
              <w:sz w:val="24"/>
              <w:lang w:val="en-US" w:eastAsia="zh-CN"/>
            </w:rPr>
            <m:t>9</m:t>
          </m:r>
          <m:r>
            <m:rPr/>
            <w:rPr>
              <w:rFonts w:ascii="Cambria Math" w:hAnsi="Cambria Math"/>
              <w:sz w:val="24"/>
            </w:rPr>
            <m:t>mm</m:t>
          </m:r>
        </m:oMath>
      </m:oMathPara>
    </w:p>
    <w:p>
      <w:pPr>
        <w:spacing w:line="360" w:lineRule="auto"/>
        <w:jc w:val="left"/>
        <w:rPr>
          <w:sz w:val="24"/>
        </w:rPr>
      </w:pPr>
      <w:r>
        <w:rPr>
          <w:b/>
          <w:bCs/>
          <w:sz w:val="24"/>
        </w:rPr>
        <w:t>4、合成标准不确定度的评定</w:t>
      </w:r>
    </w:p>
    <w:p>
      <w:pPr>
        <w:spacing w:line="360" w:lineRule="auto"/>
        <w:rPr>
          <w:sz w:val="24"/>
        </w:rPr>
      </w:pPr>
      <w:r>
        <w:rPr>
          <w:sz w:val="24"/>
        </w:rPr>
        <w:t>4.1标准不确定度汇总表</w:t>
      </w:r>
    </w:p>
    <w:p>
      <w:pPr>
        <w:spacing w:line="360" w:lineRule="auto"/>
        <w:ind w:firstLine="480" w:firstLineChars="200"/>
        <w:rPr>
          <w:sz w:val="24"/>
        </w:rPr>
      </w:pPr>
      <w:r>
        <w:rPr>
          <w:sz w:val="24"/>
        </w:rPr>
        <w:t>输入量的标准不确定度汇总于表2。</w:t>
      </w:r>
    </w:p>
    <w:p>
      <w:pPr>
        <w:spacing w:line="360" w:lineRule="auto"/>
        <w:jc w:val="center"/>
        <w:rPr>
          <w:sz w:val="24"/>
        </w:rPr>
      </w:pPr>
      <w:r>
        <w:rPr>
          <w:sz w:val="24"/>
        </w:rPr>
        <w:t>表2   标准不确定度汇总表</w:t>
      </w:r>
    </w:p>
    <w:tbl>
      <w:tblPr>
        <w:tblStyle w:val="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widowControl/>
              <w:adjustRightInd w:val="0"/>
              <w:spacing w:line="360" w:lineRule="auto"/>
              <w:jc w:val="center"/>
              <w:rPr>
                <w:sz w:val="24"/>
              </w:rPr>
            </w:pPr>
            <w:r>
              <w:rPr>
                <w:sz w:val="24"/>
              </w:rPr>
              <w:t>标准不确定度分量</w:t>
            </w:r>
          </w:p>
        </w:tc>
        <w:tc>
          <w:tcPr>
            <w:tcW w:w="4275" w:type="dxa"/>
            <w:vAlign w:val="center"/>
          </w:tcPr>
          <w:p>
            <w:pPr>
              <w:widowControl/>
              <w:adjustRightInd w:val="0"/>
              <w:spacing w:line="360" w:lineRule="auto"/>
              <w:jc w:val="center"/>
              <w:rPr>
                <w:sz w:val="24"/>
              </w:rPr>
            </w:pPr>
            <w:r>
              <w:rPr>
                <w:sz w:val="24"/>
              </w:rPr>
              <w:t>不确定度来源</w:t>
            </w:r>
          </w:p>
        </w:tc>
        <w:tc>
          <w:tcPr>
            <w:tcW w:w="1757" w:type="dxa"/>
            <w:vAlign w:val="center"/>
          </w:tcPr>
          <w:p>
            <w:pPr>
              <w:widowControl/>
              <w:adjustRightInd w:val="0"/>
              <w:spacing w:line="360" w:lineRule="auto"/>
              <w:jc w:val="center"/>
              <w:rPr>
                <w:sz w:val="24"/>
              </w:rPr>
            </w:pPr>
            <w:r>
              <w:rPr>
                <w:sz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标准不确定度u</w:t>
            </w:r>
            <w:r>
              <w:rPr>
                <w:sz w:val="24"/>
                <w:vertAlign w:val="subscript"/>
              </w:rPr>
              <w:t>1</w:t>
            </w:r>
          </w:p>
        </w:tc>
        <w:tc>
          <w:tcPr>
            <w:tcW w:w="4275" w:type="dxa"/>
          </w:tcPr>
          <w:p>
            <w:pPr>
              <w:widowControl/>
              <w:adjustRightInd w:val="0"/>
              <w:spacing w:line="360" w:lineRule="auto"/>
              <w:jc w:val="center"/>
              <w:rPr>
                <w:sz w:val="24"/>
              </w:rPr>
            </w:pPr>
            <w:r>
              <w:rPr>
                <w:sz w:val="24"/>
              </w:rPr>
              <w:t>测量重复性所引入的不确定度</w:t>
            </w:r>
          </w:p>
        </w:tc>
        <w:tc>
          <w:tcPr>
            <w:tcW w:w="1757" w:type="dxa"/>
            <w:vAlign w:val="center"/>
          </w:tcPr>
          <w:p>
            <w:pPr>
              <w:widowControl/>
              <w:adjustRightInd w:val="0"/>
              <w:spacing w:line="360" w:lineRule="auto"/>
              <w:jc w:val="center"/>
              <w:rPr>
                <w:sz w:val="24"/>
              </w:rPr>
            </w:pPr>
            <w:r>
              <w:rPr>
                <w:sz w:val="24"/>
              </w:rPr>
              <w:t xml:space="preserve">0.1mm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标准不确定度u</w:t>
            </w:r>
            <w:r>
              <w:rPr>
                <w:sz w:val="24"/>
                <w:vertAlign w:val="subscript"/>
              </w:rPr>
              <w:t>2</w:t>
            </w:r>
          </w:p>
        </w:tc>
        <w:tc>
          <w:tcPr>
            <w:tcW w:w="4275" w:type="dxa"/>
          </w:tcPr>
          <w:p>
            <w:pPr>
              <w:widowControl/>
              <w:adjustRightInd w:val="0"/>
              <w:spacing w:line="360" w:lineRule="auto"/>
              <w:jc w:val="center"/>
              <w:rPr>
                <w:sz w:val="24"/>
              </w:rPr>
            </w:pPr>
            <w:r>
              <w:rPr>
                <w:sz w:val="24"/>
              </w:rPr>
              <w:t>测量设备引入的不确定度</w:t>
            </w:r>
          </w:p>
        </w:tc>
        <w:tc>
          <w:tcPr>
            <w:tcW w:w="1757" w:type="dxa"/>
            <w:vAlign w:val="center"/>
          </w:tcPr>
          <w:p>
            <w:pPr>
              <w:widowControl/>
              <w:tabs>
                <w:tab w:val="center" w:pos="4612"/>
              </w:tabs>
              <w:adjustRightInd w:val="0"/>
              <w:spacing w:line="360" w:lineRule="auto"/>
              <w:jc w:val="center"/>
              <w:rPr>
                <w:sz w:val="24"/>
              </w:rPr>
            </w:pPr>
            <w:r>
              <w:rPr>
                <w:sz w:val="24"/>
              </w:rPr>
              <w:t>0.0</w:t>
            </w:r>
            <w:r>
              <w:rPr>
                <w:rFonts w:hint="eastAsia"/>
                <w:sz w:val="24"/>
                <w:lang w:val="en-US" w:eastAsia="zh-CN"/>
              </w:rPr>
              <w:t>9</w:t>
            </w:r>
            <w:r>
              <w:rPr>
                <w:sz w:val="24"/>
              </w:rPr>
              <w:t xml:space="preserve">mm </w:t>
            </w:r>
          </w:p>
        </w:tc>
      </w:tr>
    </w:tbl>
    <w:p>
      <w:pPr>
        <w:spacing w:line="360" w:lineRule="auto"/>
        <w:rPr>
          <w:sz w:val="24"/>
        </w:rPr>
      </w:pPr>
      <w:r>
        <w:rPr>
          <w:sz w:val="24"/>
        </w:rPr>
        <w:t>4.2合成标准不确定度的计算</w:t>
      </w:r>
    </w:p>
    <w:p>
      <w:pPr>
        <w:spacing w:line="360" w:lineRule="auto"/>
        <w:ind w:firstLine="480" w:firstLineChars="200"/>
        <w:rPr>
          <w:sz w:val="24"/>
        </w:rPr>
      </w:pPr>
      <w:r>
        <w:rPr>
          <w:sz w:val="24"/>
        </w:rPr>
        <w:t>合成标准不确定度可按下式得到：</w:t>
      </w:r>
    </w:p>
    <w:p>
      <w:pPr>
        <w:spacing w:line="360" w:lineRule="auto"/>
        <w:ind w:firstLine="480" w:firstLineChars="200"/>
        <w:rPr>
          <w:b/>
          <w:bCs/>
          <w:sz w:val="24"/>
        </w:rPr>
      </w:pPr>
      <m:oMathPara>
        <m:oMath>
          <m:sSub>
            <m:sSubPr>
              <m:ctrlPr>
                <w:rPr>
                  <w:rFonts w:ascii="Cambria Math" w:hAnsi="Cambria Math"/>
                  <w:i/>
                  <w:sz w:val="24"/>
                  <w:vertAlign w:val="subscript"/>
                </w:rPr>
              </m:ctrlPr>
            </m:sSubPr>
            <m:e>
              <m:r>
                <m:rPr/>
                <w:rPr>
                  <w:rFonts w:ascii="Cambria Math" w:hAnsi="Cambria Math"/>
                  <w:sz w:val="24"/>
                  <w:vertAlign w:val="subscript"/>
                </w:rPr>
                <m:t>u</m:t>
              </m:r>
              <m:ctrlPr>
                <w:rPr>
                  <w:rFonts w:ascii="Cambria Math" w:hAnsi="Cambria Math"/>
                  <w:i/>
                  <w:sz w:val="24"/>
                  <w:vertAlign w:val="subscript"/>
                </w:rPr>
              </m:ctrlPr>
            </m:e>
            <m:sub>
              <m:r>
                <m:rPr/>
                <w:rPr>
                  <w:rFonts w:ascii="Cambria Math" w:hAnsi="Cambria Math"/>
                  <w:sz w:val="24"/>
                  <w:vertAlign w:val="subscript"/>
                </w:rPr>
                <m:t>C</m:t>
              </m:r>
              <m:ctrlPr>
                <w:rPr>
                  <w:rFonts w:ascii="Cambria Math" w:hAnsi="Cambria Math"/>
                  <w:i/>
                  <w:sz w:val="24"/>
                  <w:vertAlign w:val="subscript"/>
                </w:rPr>
              </m:ctrlPr>
            </m:sub>
          </m:sSub>
          <m:r>
            <m:rPr/>
            <w:rPr>
              <w:rFonts w:ascii="Cambria Math" w:hAnsi="Cambria Math"/>
              <w:sz w:val="24"/>
              <w:vertAlign w:val="subscript"/>
            </w:rPr>
            <m:t>=</m:t>
          </m:r>
          <m:rad>
            <m:radPr>
              <m:degHide m:val="1"/>
              <m:ctrlPr>
                <w:rPr>
                  <w:rFonts w:ascii="Cambria Math" w:hAnsi="Cambria Math"/>
                  <w:i/>
                  <w:sz w:val="24"/>
                  <w:vertAlign w:val="subscript"/>
                </w:rPr>
              </m:ctrlPr>
            </m:radPr>
            <m:deg>
              <m:ctrlPr>
                <w:rPr>
                  <w:rFonts w:ascii="Cambria Math" w:hAnsi="Cambria Math"/>
                  <w:i/>
                  <w:sz w:val="24"/>
                  <w:vertAlign w:val="subscript"/>
                </w:rPr>
              </m:ctrlPr>
            </m:deg>
            <m:e>
              <m:sSubSup>
                <m:sSubSupPr>
                  <m:ctrlPr>
                    <w:rPr>
                      <w:rFonts w:ascii="Cambria Math" w:hAnsi="Cambria Math"/>
                      <w:i/>
                      <w:sz w:val="24"/>
                      <w:vertAlign w:val="subscript"/>
                    </w:rPr>
                  </m:ctrlPr>
                </m:sSubSupPr>
                <m:e>
                  <m:r>
                    <m:rPr/>
                    <w:rPr>
                      <w:rFonts w:ascii="Cambria Math" w:hAnsi="Cambria Math"/>
                      <w:sz w:val="24"/>
                      <w:vertAlign w:val="subscript"/>
                    </w:rPr>
                    <m:t>u</m:t>
                  </m:r>
                  <m:ctrlPr>
                    <w:rPr>
                      <w:rFonts w:ascii="Cambria Math" w:hAnsi="Cambria Math"/>
                      <w:i/>
                      <w:sz w:val="24"/>
                      <w:vertAlign w:val="subscript"/>
                    </w:rPr>
                  </m:ctrlPr>
                </m:e>
                <m:sub>
                  <m:r>
                    <m:rPr/>
                    <w:rPr>
                      <w:rFonts w:ascii="Cambria Math" w:hAnsi="Cambria Math"/>
                      <w:sz w:val="24"/>
                      <w:vertAlign w:val="subscript"/>
                    </w:rPr>
                    <m:t>1</m:t>
                  </m:r>
                  <m:ctrlPr>
                    <w:rPr>
                      <w:rFonts w:ascii="Cambria Math" w:hAnsi="Cambria Math"/>
                      <w:i/>
                      <w:sz w:val="24"/>
                      <w:vertAlign w:val="subscript"/>
                    </w:rPr>
                  </m:ctrlPr>
                </m:sub>
                <m:sup>
                  <m:r>
                    <m:rPr/>
                    <w:rPr>
                      <w:rFonts w:ascii="Cambria Math" w:hAnsi="Cambria Math"/>
                      <w:sz w:val="24"/>
                      <w:vertAlign w:val="subscript"/>
                    </w:rPr>
                    <m:t>2</m:t>
                  </m:r>
                  <m:ctrlPr>
                    <w:rPr>
                      <w:rFonts w:ascii="Cambria Math" w:hAnsi="Cambria Math"/>
                      <w:i/>
                      <w:sz w:val="24"/>
                      <w:vertAlign w:val="subscript"/>
                    </w:rPr>
                  </m:ctrlPr>
                </m:sup>
              </m:sSubSup>
              <m:r>
                <m:rPr/>
                <w:rPr>
                  <w:rFonts w:ascii="Cambria Math" w:hAnsi="Cambria Math"/>
                  <w:sz w:val="24"/>
                  <w:vertAlign w:val="subscript"/>
                </w:rPr>
                <m:t>+</m:t>
              </m:r>
              <m:sSubSup>
                <m:sSubSupPr>
                  <m:ctrlPr>
                    <w:rPr>
                      <w:rFonts w:ascii="Cambria Math" w:hAnsi="Cambria Math"/>
                      <w:i/>
                      <w:sz w:val="24"/>
                      <w:vertAlign w:val="subscript"/>
                    </w:rPr>
                  </m:ctrlPr>
                </m:sSubSupPr>
                <m:e>
                  <m:r>
                    <m:rPr/>
                    <w:rPr>
                      <w:rFonts w:ascii="Cambria Math" w:hAnsi="Cambria Math"/>
                      <w:sz w:val="24"/>
                      <w:vertAlign w:val="subscript"/>
                    </w:rPr>
                    <m:t>u</m:t>
                  </m:r>
                  <m:ctrlPr>
                    <w:rPr>
                      <w:rFonts w:ascii="Cambria Math" w:hAnsi="Cambria Math"/>
                      <w:i/>
                      <w:sz w:val="24"/>
                      <w:vertAlign w:val="subscript"/>
                    </w:rPr>
                  </m:ctrlPr>
                </m:e>
                <m:sub>
                  <m:r>
                    <m:rPr/>
                    <w:rPr>
                      <w:rFonts w:ascii="Cambria Math" w:hAnsi="Cambria Math"/>
                      <w:sz w:val="24"/>
                      <w:vertAlign w:val="subscript"/>
                    </w:rPr>
                    <m:t>2</m:t>
                  </m:r>
                  <m:ctrlPr>
                    <w:rPr>
                      <w:rFonts w:ascii="Cambria Math" w:hAnsi="Cambria Math"/>
                      <w:i/>
                      <w:sz w:val="24"/>
                      <w:vertAlign w:val="subscript"/>
                    </w:rPr>
                  </m:ctrlPr>
                </m:sub>
                <m:sup>
                  <m:r>
                    <m:rPr/>
                    <w:rPr>
                      <w:rFonts w:ascii="Cambria Math" w:hAnsi="Cambria Math"/>
                      <w:sz w:val="24"/>
                      <w:vertAlign w:val="subscript"/>
                    </w:rPr>
                    <m:t>2</m:t>
                  </m:r>
                  <m:ctrlPr>
                    <w:rPr>
                      <w:rFonts w:ascii="Cambria Math" w:hAnsi="Cambria Math"/>
                      <w:i/>
                      <w:sz w:val="24"/>
                      <w:vertAlign w:val="subscript"/>
                    </w:rPr>
                  </m:ctrlPr>
                </m:sup>
              </m:sSubSup>
              <m:ctrlPr>
                <w:rPr>
                  <w:rFonts w:ascii="Cambria Math" w:hAnsi="Cambria Math"/>
                  <w:i/>
                  <w:sz w:val="24"/>
                  <w:vertAlign w:val="subscript"/>
                </w:rPr>
              </m:ctrlPr>
            </m:e>
          </m:rad>
          <m:r>
            <m:rPr/>
            <w:rPr>
              <w:rFonts w:ascii="Cambria Math" w:hAnsi="Cambria Math"/>
              <w:sz w:val="24"/>
              <w:vertAlign w:val="subscript"/>
            </w:rPr>
            <m:t>=</m:t>
          </m:r>
          <m:rad>
            <m:radPr>
              <m:degHide m:val="1"/>
              <m:ctrlPr>
                <w:rPr>
                  <w:rFonts w:ascii="Cambria Math" w:hAnsi="Cambria Math"/>
                  <w:i/>
                  <w:sz w:val="24"/>
                  <w:vertAlign w:val="subscript"/>
                </w:rPr>
              </m:ctrlPr>
            </m:radPr>
            <m:deg>
              <m:ctrlPr>
                <w:rPr>
                  <w:rFonts w:ascii="Cambria Math" w:hAnsi="Cambria Math"/>
                  <w:i/>
                  <w:sz w:val="24"/>
                  <w:vertAlign w:val="subscript"/>
                </w:rPr>
              </m:ctrlPr>
            </m:deg>
            <m:e>
              <m:r>
                <m:rPr/>
                <w:rPr>
                  <w:rFonts w:ascii="Cambria Math" w:hAnsi="Cambria Math"/>
                  <w:sz w:val="24"/>
                  <w:vertAlign w:val="subscript"/>
                </w:rPr>
                <m:t>0.</m:t>
              </m:r>
              <m:sSup>
                <m:sSupPr>
                  <m:ctrlPr>
                    <w:rPr>
                      <w:rFonts w:ascii="Cambria Math" w:hAnsi="Cambria Math"/>
                      <w:i/>
                      <w:sz w:val="24"/>
                      <w:vertAlign w:val="subscript"/>
                    </w:rPr>
                  </m:ctrlPr>
                </m:sSupPr>
                <m:e>
                  <m:r>
                    <m:rPr/>
                    <w:rPr>
                      <w:rFonts w:ascii="Cambria Math" w:hAnsi="Cambria Math"/>
                      <w:sz w:val="24"/>
                      <w:vertAlign w:val="subscript"/>
                    </w:rPr>
                    <m:t>1</m:t>
                  </m:r>
                  <m:ctrlPr>
                    <w:rPr>
                      <w:rFonts w:ascii="Cambria Math" w:hAnsi="Cambria Math"/>
                      <w:i/>
                      <w:sz w:val="24"/>
                      <w:vertAlign w:val="subscript"/>
                    </w:rPr>
                  </m:ctrlPr>
                </m:e>
                <m:sup>
                  <m:r>
                    <m:rPr/>
                    <w:rPr>
                      <w:rFonts w:ascii="Cambria Math" w:hAnsi="Cambria Math"/>
                      <w:sz w:val="24"/>
                      <w:vertAlign w:val="subscript"/>
                    </w:rPr>
                    <m:t>2</m:t>
                  </m:r>
                  <m:ctrlPr>
                    <w:rPr>
                      <w:rFonts w:ascii="Cambria Math" w:hAnsi="Cambria Math"/>
                      <w:i/>
                      <w:sz w:val="24"/>
                      <w:vertAlign w:val="subscript"/>
                    </w:rPr>
                  </m:ctrlPr>
                </m:sup>
              </m:sSup>
              <m:r>
                <m:rPr/>
                <w:rPr>
                  <w:rFonts w:ascii="Cambria Math" w:hAnsi="Cambria Math"/>
                  <w:sz w:val="24"/>
                  <w:vertAlign w:val="subscript"/>
                </w:rPr>
                <m:t>+0.</m:t>
              </m:r>
              <m:sSup>
                <m:sSupPr>
                  <m:ctrlPr>
                    <w:rPr>
                      <w:rFonts w:ascii="Cambria Math" w:hAnsi="Cambria Math"/>
                      <w:i/>
                      <w:sz w:val="24"/>
                      <w:vertAlign w:val="subscript"/>
                    </w:rPr>
                  </m:ctrlPr>
                </m:sSupPr>
                <m:e>
                  <m:r>
                    <m:rPr/>
                    <w:rPr>
                      <w:rFonts w:ascii="Cambria Math" w:hAnsi="Cambria Math"/>
                      <w:sz w:val="24"/>
                      <w:vertAlign w:val="subscript"/>
                    </w:rPr>
                    <m:t>0</m:t>
                  </m:r>
                  <m:r>
                    <m:rPr/>
                    <w:rPr>
                      <w:rFonts w:hint="default" w:ascii="Cambria Math" w:hAnsi="Cambria Math"/>
                      <w:sz w:val="24"/>
                      <w:vertAlign w:val="subscript"/>
                      <w:lang w:val="en-US" w:eastAsia="zh-CN"/>
                    </w:rPr>
                    <m:t>9</m:t>
                  </m:r>
                  <m:ctrlPr>
                    <w:rPr>
                      <w:rFonts w:ascii="Cambria Math" w:hAnsi="Cambria Math"/>
                      <w:i/>
                      <w:sz w:val="24"/>
                      <w:vertAlign w:val="subscript"/>
                    </w:rPr>
                  </m:ctrlPr>
                </m:e>
                <m:sup>
                  <m:r>
                    <m:rPr/>
                    <w:rPr>
                      <w:rFonts w:ascii="Cambria Math" w:hAnsi="Cambria Math"/>
                      <w:sz w:val="24"/>
                      <w:vertAlign w:val="subscript"/>
                    </w:rPr>
                    <m:t>2</m:t>
                  </m:r>
                  <m:ctrlPr>
                    <w:rPr>
                      <w:rFonts w:ascii="Cambria Math" w:hAnsi="Cambria Math"/>
                      <w:i/>
                      <w:sz w:val="24"/>
                      <w:vertAlign w:val="subscript"/>
                    </w:rPr>
                  </m:ctrlPr>
                </m:sup>
              </m:sSup>
              <m:ctrlPr>
                <w:rPr>
                  <w:rFonts w:ascii="Cambria Math" w:hAnsi="Cambria Math"/>
                  <w:i/>
                  <w:sz w:val="24"/>
                  <w:vertAlign w:val="subscript"/>
                </w:rPr>
              </m:ctrlPr>
            </m:e>
          </m:rad>
          <m:r>
            <m:rPr/>
            <w:rPr>
              <w:rFonts w:ascii="Cambria Math" w:hAnsi="Cambria Math"/>
              <w:sz w:val="24"/>
              <w:vertAlign w:val="subscript"/>
            </w:rPr>
            <m:t>=0.1</m:t>
          </m:r>
          <m:r>
            <m:rPr/>
            <w:rPr>
              <w:rFonts w:hint="default" w:ascii="Cambria Math" w:hAnsi="Cambria Math"/>
              <w:sz w:val="24"/>
              <w:vertAlign w:val="subscript"/>
              <w:lang w:val="en-US" w:eastAsia="zh-CN"/>
            </w:rPr>
            <m:t>3</m:t>
          </m:r>
          <m:r>
            <m:rPr/>
            <w:rPr>
              <w:rFonts w:ascii="Cambria Math" w:hAnsi="Cambria Math"/>
              <w:sz w:val="24"/>
              <w:vertAlign w:val="subscript"/>
            </w:rPr>
            <m:t>mm</m:t>
          </m:r>
        </m:oMath>
      </m:oMathPara>
    </w:p>
    <w:p>
      <w:pPr>
        <w:spacing w:line="360" w:lineRule="auto"/>
        <w:rPr>
          <w:b/>
          <w:bCs/>
          <w:sz w:val="24"/>
        </w:rPr>
      </w:pPr>
      <w:r>
        <w:rPr>
          <w:b/>
          <w:bCs/>
          <w:sz w:val="24"/>
        </w:rPr>
        <w:t>5、扩展不确定度的计算</w:t>
      </w:r>
    </w:p>
    <w:p>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2,置信概率 95％</w:t>
      </w:r>
      <w:r>
        <w:rPr>
          <w:i/>
          <w:sz w:val="24"/>
        </w:rPr>
        <w:t xml:space="preserve">,  </w:t>
      </w:r>
      <w:r>
        <w:rPr>
          <w:sz w:val="24"/>
        </w:rPr>
        <w:t>得</w:t>
      </w:r>
    </w:p>
    <w:p>
      <w:pPr>
        <w:spacing w:line="360" w:lineRule="auto"/>
        <w:ind w:left="780" w:firstLine="780" w:firstLineChars="325"/>
        <w:rPr>
          <w:sz w:val="24"/>
        </w:rPr>
      </w:pPr>
      <w:r>
        <w:rPr>
          <w:sz w:val="24"/>
        </w:rPr>
        <w:t xml:space="preserve"> </w:t>
      </w:r>
      <w:r>
        <w:rPr>
          <w:i/>
          <w:sz w:val="24"/>
        </w:rPr>
        <w:t>U＝</w:t>
      </w:r>
      <w:r>
        <w:rPr>
          <w:sz w:val="24"/>
        </w:rPr>
        <w:t xml:space="preserve"> </w:t>
      </w:r>
      <w:r>
        <w:rPr>
          <w:i/>
          <w:kern w:val="0"/>
          <w:sz w:val="24"/>
        </w:rPr>
        <w:t>k</w:t>
      </w:r>
      <w:r>
        <w:rPr>
          <w:sz w:val="24"/>
        </w:rPr>
        <w:t>u</w:t>
      </w:r>
      <w:r>
        <w:rPr>
          <w:sz w:val="24"/>
          <w:vertAlign w:val="subscript"/>
        </w:rPr>
        <w:t>c</w:t>
      </w:r>
      <w:r>
        <w:rPr>
          <w:sz w:val="24"/>
        </w:rPr>
        <w:t>＝2×0.1</w:t>
      </w:r>
      <w:r>
        <w:rPr>
          <w:rFonts w:hint="eastAsia"/>
          <w:sz w:val="24"/>
          <w:lang w:val="en-US" w:eastAsia="zh-CN"/>
        </w:rPr>
        <w:t>3</w:t>
      </w:r>
      <w:r>
        <w:rPr>
          <w:sz w:val="24"/>
        </w:rPr>
        <w:t>mm=0.2</w:t>
      </w:r>
      <w:r>
        <w:rPr>
          <w:rFonts w:hint="eastAsia"/>
          <w:sz w:val="24"/>
          <w:lang w:val="en-US" w:eastAsia="zh-CN"/>
        </w:rPr>
        <w:t>6</w:t>
      </w:r>
      <w:r>
        <w:rPr>
          <w:sz w:val="24"/>
        </w:rPr>
        <w:t>mm</w:t>
      </w:r>
    </w:p>
    <w:p>
      <w:pPr>
        <w:spacing w:line="360" w:lineRule="auto"/>
        <w:rPr>
          <w:sz w:val="24"/>
        </w:rPr>
      </w:pPr>
      <w:r>
        <w:rPr>
          <w:rFonts w:hint="eastAsia" w:ascii="Times New Roman" w:hAnsi="Times New Roman" w:eastAsia="宋体" w:cs="Times New Roman"/>
          <w:color w:val="0000FF"/>
          <w:szCs w:val="21"/>
          <w:lang w:eastAsia="zh-CN"/>
        </w:rPr>
        <w:drawing>
          <wp:anchor distT="0" distB="0" distL="114300" distR="114300" simplePos="0" relativeHeight="251659264" behindDoc="0" locked="0" layoutInCell="1" allowOverlap="1">
            <wp:simplePos x="0" y="0"/>
            <wp:positionH relativeFrom="column">
              <wp:posOffset>3169920</wp:posOffset>
            </wp:positionH>
            <wp:positionV relativeFrom="paragraph">
              <wp:posOffset>256540</wp:posOffset>
            </wp:positionV>
            <wp:extent cx="758190" cy="309880"/>
            <wp:effectExtent l="0" t="0" r="3810" b="13970"/>
            <wp:wrapNone/>
            <wp:docPr id="5" name="图片 5" descr="592b186413339cbf4c31d8231c0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92b186413339cbf4c31d8231c06573"/>
                    <pic:cNvPicPr>
                      <a:picLocks noChangeAspect="1"/>
                    </pic:cNvPicPr>
                  </pic:nvPicPr>
                  <pic:blipFill>
                    <a:blip r:embed="rId11">
                      <a:lum bright="30000"/>
                    </a:blip>
                    <a:srcRect t="13761" r="3787" b="22280"/>
                    <a:stretch>
                      <a:fillRect/>
                    </a:stretch>
                  </pic:blipFill>
                  <pic:spPr>
                    <a:xfrm>
                      <a:off x="0" y="0"/>
                      <a:ext cx="758190" cy="309880"/>
                    </a:xfrm>
                    <a:prstGeom prst="rect">
                      <a:avLst/>
                    </a:prstGeom>
                  </pic:spPr>
                </pic:pic>
              </a:graphicData>
            </a:graphic>
          </wp:anchor>
        </w:drawing>
      </w:r>
      <w:r>
        <w:rPr>
          <w:b/>
          <w:bCs/>
          <w:sz w:val="24"/>
        </w:rPr>
        <w:t xml:space="preserve">6、测量不确定度的报告与表示   </w:t>
      </w:r>
      <w:r>
        <w:rPr>
          <w:sz w:val="24"/>
        </w:rPr>
        <w:t xml:space="preserve">  </w:t>
      </w:r>
      <w:bookmarkStart w:id="1" w:name="_GoBack"/>
      <w:bookmarkEnd w:id="1"/>
    </w:p>
    <w:p>
      <w:pPr>
        <w:spacing w:line="360" w:lineRule="auto"/>
        <w:ind w:firstLine="1680" w:firstLineChars="700"/>
        <w:rPr>
          <w:rFonts w:hint="eastAsia" w:eastAsia="宋体"/>
          <w:sz w:val="24"/>
          <w:lang w:val="en-US" w:eastAsia="zh-CN"/>
        </w:rPr>
      </w:pPr>
      <w:r>
        <w:rPr>
          <w:i/>
          <w:sz w:val="24"/>
        </w:rPr>
        <w:t>U＝</w:t>
      </w:r>
      <w:r>
        <w:rPr>
          <w:iCs/>
          <w:sz w:val="24"/>
        </w:rPr>
        <w:t>0.2</w:t>
      </w:r>
      <w:r>
        <w:rPr>
          <w:rFonts w:hint="eastAsia"/>
          <w:iCs/>
          <w:sz w:val="24"/>
          <w:lang w:val="en-US" w:eastAsia="zh-CN"/>
        </w:rPr>
        <w:t>6</w:t>
      </w:r>
      <w:r>
        <w:rPr>
          <w:iCs/>
          <w:sz w:val="24"/>
        </w:rPr>
        <w:t>mm</w:t>
      </w:r>
      <w:r>
        <w:rPr>
          <w:sz w:val="24"/>
        </w:rPr>
        <w:t xml:space="preserve">  </w:t>
      </w:r>
      <w:r>
        <w:rPr>
          <w:i/>
          <w:kern w:val="0"/>
          <w:sz w:val="24"/>
        </w:rPr>
        <w:t>k</w:t>
      </w:r>
      <w:r>
        <w:rPr>
          <w:i/>
          <w:iCs/>
          <w:kern w:val="0"/>
          <w:sz w:val="24"/>
        </w:rPr>
        <w:t xml:space="preserve"> </w:t>
      </w:r>
      <w:r>
        <w:rPr>
          <w:kern w:val="0"/>
          <w:sz w:val="24"/>
        </w:rPr>
        <w:t>= 2</w:t>
      </w:r>
      <w:r>
        <w:rPr>
          <w:rFonts w:hint="eastAsia"/>
          <w:kern w:val="0"/>
          <w:sz w:val="24"/>
          <w:lang w:val="en-US" w:eastAsia="zh-CN"/>
        </w:rPr>
        <w:t xml:space="preserve">     评定人：</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ZGExZGEzM2I3NmQzYmU5Nzc3YTgwYjllMTVmOTUifQ=="/>
  </w:docVars>
  <w:rsids>
    <w:rsidRoot w:val="295E52F6"/>
    <w:rsid w:val="00036AC5"/>
    <w:rsid w:val="000D5B0F"/>
    <w:rsid w:val="0015693D"/>
    <w:rsid w:val="00227CDF"/>
    <w:rsid w:val="002459D5"/>
    <w:rsid w:val="00291B6B"/>
    <w:rsid w:val="002E038F"/>
    <w:rsid w:val="003869A8"/>
    <w:rsid w:val="003C4486"/>
    <w:rsid w:val="004258C8"/>
    <w:rsid w:val="00432FDD"/>
    <w:rsid w:val="0047357A"/>
    <w:rsid w:val="00473640"/>
    <w:rsid w:val="00477F42"/>
    <w:rsid w:val="00486E22"/>
    <w:rsid w:val="00505B01"/>
    <w:rsid w:val="0055550A"/>
    <w:rsid w:val="005A154F"/>
    <w:rsid w:val="005F3B8C"/>
    <w:rsid w:val="005F40DF"/>
    <w:rsid w:val="006E25D7"/>
    <w:rsid w:val="007534A0"/>
    <w:rsid w:val="007A54BF"/>
    <w:rsid w:val="00852B65"/>
    <w:rsid w:val="00A27A88"/>
    <w:rsid w:val="00AD7B6B"/>
    <w:rsid w:val="00B72BDD"/>
    <w:rsid w:val="00C30C67"/>
    <w:rsid w:val="00D24F36"/>
    <w:rsid w:val="00D25394"/>
    <w:rsid w:val="00D60E80"/>
    <w:rsid w:val="00D66775"/>
    <w:rsid w:val="00EB1262"/>
    <w:rsid w:val="00EB6ECF"/>
    <w:rsid w:val="00EC0F2A"/>
    <w:rsid w:val="00F55B64"/>
    <w:rsid w:val="00FA2262"/>
    <w:rsid w:val="020A7612"/>
    <w:rsid w:val="029D4DA9"/>
    <w:rsid w:val="0427178F"/>
    <w:rsid w:val="04444815"/>
    <w:rsid w:val="04904F2F"/>
    <w:rsid w:val="062619D7"/>
    <w:rsid w:val="08DD4098"/>
    <w:rsid w:val="09926A5E"/>
    <w:rsid w:val="0A9A5E74"/>
    <w:rsid w:val="0B335FF7"/>
    <w:rsid w:val="0B454A9A"/>
    <w:rsid w:val="0BF638D8"/>
    <w:rsid w:val="0D543D46"/>
    <w:rsid w:val="0E2137A4"/>
    <w:rsid w:val="0EBC1312"/>
    <w:rsid w:val="0F1D6991"/>
    <w:rsid w:val="10C76CC6"/>
    <w:rsid w:val="11DD0A90"/>
    <w:rsid w:val="12730DEE"/>
    <w:rsid w:val="128B0D75"/>
    <w:rsid w:val="1299543E"/>
    <w:rsid w:val="12B835A6"/>
    <w:rsid w:val="12D50539"/>
    <w:rsid w:val="14C02D0C"/>
    <w:rsid w:val="150669D4"/>
    <w:rsid w:val="1581369B"/>
    <w:rsid w:val="159D581B"/>
    <w:rsid w:val="18175742"/>
    <w:rsid w:val="183E7280"/>
    <w:rsid w:val="18530ABE"/>
    <w:rsid w:val="18D63697"/>
    <w:rsid w:val="19327B16"/>
    <w:rsid w:val="1B8F690F"/>
    <w:rsid w:val="1FAA7E12"/>
    <w:rsid w:val="20A77C34"/>
    <w:rsid w:val="22D26325"/>
    <w:rsid w:val="23202098"/>
    <w:rsid w:val="235C13E6"/>
    <w:rsid w:val="23725C5C"/>
    <w:rsid w:val="243E6AEB"/>
    <w:rsid w:val="24A66DBE"/>
    <w:rsid w:val="25A17034"/>
    <w:rsid w:val="25D13B76"/>
    <w:rsid w:val="266D57AA"/>
    <w:rsid w:val="269572F3"/>
    <w:rsid w:val="26A15C76"/>
    <w:rsid w:val="27725E1D"/>
    <w:rsid w:val="28BF4C41"/>
    <w:rsid w:val="295E52F6"/>
    <w:rsid w:val="2C564B0C"/>
    <w:rsid w:val="2C5D7C01"/>
    <w:rsid w:val="2CA1401A"/>
    <w:rsid w:val="2DD11A20"/>
    <w:rsid w:val="2ECC6EA5"/>
    <w:rsid w:val="2F2E0328"/>
    <w:rsid w:val="2F5738F4"/>
    <w:rsid w:val="30F8265E"/>
    <w:rsid w:val="31632987"/>
    <w:rsid w:val="319409DE"/>
    <w:rsid w:val="32371FE5"/>
    <w:rsid w:val="32D135C7"/>
    <w:rsid w:val="32FD5AF2"/>
    <w:rsid w:val="349647E4"/>
    <w:rsid w:val="36184782"/>
    <w:rsid w:val="36CE1016"/>
    <w:rsid w:val="370622B8"/>
    <w:rsid w:val="37A94C31"/>
    <w:rsid w:val="38620631"/>
    <w:rsid w:val="39983970"/>
    <w:rsid w:val="3A2F3C28"/>
    <w:rsid w:val="3ACB544F"/>
    <w:rsid w:val="3B580FB4"/>
    <w:rsid w:val="3C1D48AE"/>
    <w:rsid w:val="3D506AC2"/>
    <w:rsid w:val="3DD94D1F"/>
    <w:rsid w:val="3E782D86"/>
    <w:rsid w:val="3EB1607D"/>
    <w:rsid w:val="3F4C2153"/>
    <w:rsid w:val="3F6A1D37"/>
    <w:rsid w:val="3F9B649E"/>
    <w:rsid w:val="409F2474"/>
    <w:rsid w:val="41D250C9"/>
    <w:rsid w:val="45E93283"/>
    <w:rsid w:val="45FE3658"/>
    <w:rsid w:val="46072BC5"/>
    <w:rsid w:val="462C7D91"/>
    <w:rsid w:val="46D76850"/>
    <w:rsid w:val="47241E7D"/>
    <w:rsid w:val="472F67EC"/>
    <w:rsid w:val="474366A5"/>
    <w:rsid w:val="47674205"/>
    <w:rsid w:val="48EC7A63"/>
    <w:rsid w:val="48EE7025"/>
    <w:rsid w:val="49662480"/>
    <w:rsid w:val="49680B69"/>
    <w:rsid w:val="499A7F67"/>
    <w:rsid w:val="4A2010D1"/>
    <w:rsid w:val="4D0B3CA5"/>
    <w:rsid w:val="4D3D2677"/>
    <w:rsid w:val="4D870760"/>
    <w:rsid w:val="4E9273F7"/>
    <w:rsid w:val="4E947B2E"/>
    <w:rsid w:val="4EFD3A34"/>
    <w:rsid w:val="517E6D91"/>
    <w:rsid w:val="51D71733"/>
    <w:rsid w:val="51EF1530"/>
    <w:rsid w:val="526747A8"/>
    <w:rsid w:val="528121D3"/>
    <w:rsid w:val="52F95E63"/>
    <w:rsid w:val="5340429F"/>
    <w:rsid w:val="53782004"/>
    <w:rsid w:val="540B4676"/>
    <w:rsid w:val="55662D4F"/>
    <w:rsid w:val="56B10C01"/>
    <w:rsid w:val="57CC2099"/>
    <w:rsid w:val="5865536D"/>
    <w:rsid w:val="5A324EF9"/>
    <w:rsid w:val="5B220342"/>
    <w:rsid w:val="5B91074D"/>
    <w:rsid w:val="5CFF0827"/>
    <w:rsid w:val="5D8821F3"/>
    <w:rsid w:val="5E6C67F7"/>
    <w:rsid w:val="5EFD54A6"/>
    <w:rsid w:val="5F877BF1"/>
    <w:rsid w:val="5FBA6C7D"/>
    <w:rsid w:val="6001421E"/>
    <w:rsid w:val="617257C6"/>
    <w:rsid w:val="61BB3523"/>
    <w:rsid w:val="650256CD"/>
    <w:rsid w:val="666157E3"/>
    <w:rsid w:val="67C15B44"/>
    <w:rsid w:val="68BF12BC"/>
    <w:rsid w:val="694F78A2"/>
    <w:rsid w:val="6A764632"/>
    <w:rsid w:val="6B2657AC"/>
    <w:rsid w:val="6D1A7968"/>
    <w:rsid w:val="6D3B39C2"/>
    <w:rsid w:val="6DF0317D"/>
    <w:rsid w:val="6E9F7006"/>
    <w:rsid w:val="6EBF30C4"/>
    <w:rsid w:val="7134419E"/>
    <w:rsid w:val="718B2D6F"/>
    <w:rsid w:val="72FA0CAA"/>
    <w:rsid w:val="73BD13F9"/>
    <w:rsid w:val="74420E7C"/>
    <w:rsid w:val="747336E8"/>
    <w:rsid w:val="749A3258"/>
    <w:rsid w:val="74B06DF1"/>
    <w:rsid w:val="74FF3F23"/>
    <w:rsid w:val="75295993"/>
    <w:rsid w:val="789B1DCD"/>
    <w:rsid w:val="78EB596B"/>
    <w:rsid w:val="79083AAF"/>
    <w:rsid w:val="7A03654E"/>
    <w:rsid w:val="7A3412F5"/>
    <w:rsid w:val="7A7F2C28"/>
    <w:rsid w:val="7CEC729F"/>
    <w:rsid w:val="7D1A1ECF"/>
    <w:rsid w:val="7F6E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字符"/>
    <w:basedOn w:val="6"/>
    <w:link w:val="4"/>
    <w:qFormat/>
    <w:uiPriority w:val="0"/>
    <w:rPr>
      <w:kern w:val="2"/>
      <w:sz w:val="18"/>
      <w:szCs w:val="18"/>
    </w:rPr>
  </w:style>
  <w:style w:type="character" w:styleId="9">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800</Words>
  <Characters>1029</Characters>
  <Lines>9</Lines>
  <Paragraphs>2</Paragraphs>
  <TotalTime>0</TotalTime>
  <ScaleCrop>false</ScaleCrop>
  <LinksUpToDate>false</LinksUpToDate>
  <CharactersWithSpaces>1139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2020-03-30T23:43:00Z</dcterms:created>
  <dc:creator>知足常乐</dc:creator>
  <cp:lastModifiedBy>hp</cp:lastModifiedBy>
  <dcterms:modified xsi:type="dcterms:W3CDTF">2022-08-22T09:55:45Z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B8B0F4B0E3C8435F86E3CC766FF1061E</vt:lpwstr>
  </property>
</Properties>
</file>