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0964-2022-EnMS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成都声浮科技有限公司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2"/>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2022年08月12日 下午至2022年08月12日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eastAsia="宋体"/>
                <w:b/>
                <w:color w:val="000000"/>
                <w:szCs w:val="21"/>
                <w:lang w:val="de-DE" w:eastAsia="zh-CN"/>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p>
          <w:p>
            <w:pPr>
              <w:rPr>
                <w:rFonts w:hint="default" w:ascii="宋体" w:hAnsi="宋体" w:eastAsia="宋体"/>
                <w:b/>
                <w:color w:val="000000"/>
                <w:szCs w:val="21"/>
                <w:lang w:val="en-US" w:eastAsia="zh-CN"/>
              </w:rPr>
            </w:pPr>
            <w:r>
              <w:rPr>
                <w:rFonts w:hint="eastAsia" w:ascii="宋体" w:hAnsi="宋体"/>
                <w:b/>
                <w:color w:val="000000"/>
                <w:szCs w:val="21"/>
                <w:lang w:val="de-DE"/>
              </w:rPr>
              <w:sym w:font="Wingdings 2" w:char="0052"/>
            </w:r>
            <w:r>
              <w:rPr>
                <w:rFonts w:hint="eastAsia" w:ascii="宋体" w:hAnsi="宋体"/>
                <w:b/>
                <w:color w:val="000000"/>
                <w:szCs w:val="21"/>
              </w:rPr>
              <w:t>能源认证标准</w:t>
            </w:r>
            <w:r>
              <w:rPr>
                <w:rFonts w:hint="eastAsia" w:ascii="宋体" w:hAnsi="宋体"/>
                <w:b/>
                <w:color w:val="000000"/>
                <w:szCs w:val="21"/>
                <w:lang w:val="de-DE"/>
              </w:rPr>
              <w:t>：</w:t>
            </w:r>
            <w:r>
              <w:rPr>
                <w:rFonts w:hint="eastAsia" w:ascii="宋体" w:hAnsi="宋体"/>
                <w:b/>
                <w:color w:val="000000"/>
                <w:szCs w:val="21"/>
                <w:lang w:val="en-US" w:eastAsia="zh-CN"/>
              </w:rPr>
              <w:t>RB/T101-2013</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2"/>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2.10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成都声浮科技有限公司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中国（四川）自由贸易试验区成都高新区天府大道中段530号2栋1806号</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610000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生产地址"/>
            <w:bookmarkStart w:id="25" w:name="办公地址"/>
            <w:r>
              <w:rPr>
                <w:rFonts w:ascii="宋体"/>
                <w:b/>
                <w:color w:val="000000"/>
                <w:szCs w:val="21"/>
              </w:rPr>
              <w:t>成都市温江区科兴路西段618号12区2号</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610000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罗勇</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13308028557</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刘建东</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罗勇</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产品：</w:t>
            </w:r>
            <w:r>
              <w:t>超声波流量计、超声波水表</w:t>
            </w:r>
            <w:r>
              <w:rPr>
                <w:rFonts w:hint="eastAsia"/>
                <w:lang w:eastAsia="zh-CN"/>
              </w:rPr>
              <w:t>、</w:t>
            </w:r>
            <w:r>
              <w:rPr>
                <w:rFonts w:hint="eastAsia"/>
                <w:lang w:val="en-US" w:eastAsia="zh-CN"/>
              </w:rPr>
              <w:t>计算机软件</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销售后服务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highlight w:val="none"/>
              </w:rPr>
            </w:pPr>
            <w:r>
              <w:rPr>
                <w:rFonts w:hint="eastAsia" w:ascii="宋体" w:hAnsi="宋体"/>
                <w:color w:val="000000"/>
                <w:szCs w:val="21"/>
                <w:highlight w:val="none"/>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napToGrid w:val="0"/>
              <w:spacing w:line="280" w:lineRule="exact"/>
              <w:jc w:val="both"/>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销售流程：</w:t>
            </w:r>
          </w:p>
          <w:p>
            <w:pPr>
              <w:snapToGrid w:val="0"/>
              <w:spacing w:line="280" w:lineRule="exact"/>
              <w:jc w:val="both"/>
              <w:rPr>
                <w:rFonts w:hint="default"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接到客户业务咨询（资料图纸）→订单确定与客户签订合同→与供应商沟通→签订采购合同（支付预付款）→产品入库（供应商）→货物验收→发货物流安排到客户→客户提货、交货、验货（支付余款）→清算、交易结束</w:t>
            </w:r>
          </w:p>
          <w:p>
            <w:pPr>
              <w:snapToGrid w:val="0"/>
              <w:spacing w:line="280" w:lineRule="exact"/>
              <w:jc w:val="both"/>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 xml:space="preserve">研发流程： </w:t>
            </w:r>
          </w:p>
          <w:p>
            <w:pPr>
              <w:rPr>
                <w:color w:val="000000"/>
                <w:szCs w:val="18"/>
              </w:rPr>
            </w:pPr>
            <w:r>
              <w:rPr>
                <w:rFonts w:hint="eastAsia" w:ascii="Times New Roman" w:hAnsi="Times New Roman" w:eastAsia="宋体" w:cs="Times New Roman"/>
                <w:b/>
                <w:sz w:val="20"/>
                <w:lang w:val="en-US" w:eastAsia="zh-CN"/>
              </w:rPr>
              <w:t>制定计划→方案分析→研发计划→搭建研发小组→研发产品工艺流程图→小批量生产与工艺持续优化改进→中批量生产与客户试用</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2" w:name="审核范围"/>
            <w:r>
              <w:t>超声波流量计、超声波水表的研发和销售，计算机软件开发和销售所涉及的能源管理活动</w:t>
            </w:r>
            <w:bookmarkEnd w:id="32"/>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default" w:ascii="宋体"/>
                <w:color w:val="000000"/>
                <w:spacing w:val="-10"/>
                <w:szCs w:val="21"/>
                <w:lang w:val="en-US"/>
              </w:rPr>
            </w:pPr>
            <w:r>
              <w:rPr>
                <w:rFonts w:hint="eastAsia" w:ascii="宋体"/>
                <w:color w:val="000000"/>
                <w:szCs w:val="21"/>
              </w:rPr>
              <w:t>如不一致，请简述不一致情况：</w:t>
            </w:r>
            <w:r>
              <w:rPr>
                <w:rFonts w:hint="eastAsia"/>
                <w:sz w:val="21"/>
                <w:szCs w:val="21"/>
                <w:lang w:val="en-US" w:eastAsia="zh-CN"/>
              </w:rPr>
              <w:t>由</w:t>
            </w:r>
            <w:r>
              <w:rPr>
                <w:rFonts w:hint="eastAsia"/>
                <w:color w:val="FF0000"/>
                <w:sz w:val="21"/>
                <w:szCs w:val="21"/>
                <w:lang w:val="en-US" w:eastAsia="zh-CN"/>
              </w:rPr>
              <w:t>“</w:t>
            </w:r>
            <w:r>
              <w:rPr>
                <w:color w:val="FF0000"/>
                <w:sz w:val="21"/>
                <w:szCs w:val="21"/>
              </w:rPr>
              <w:t>成都市温江区科兴路西段618号12区2号</w:t>
            </w:r>
            <w:r>
              <w:rPr>
                <w:rFonts w:hint="eastAsia"/>
                <w:color w:val="FF0000"/>
                <w:sz w:val="21"/>
                <w:szCs w:val="21"/>
                <w:lang w:val="en-US" w:eastAsia="zh-CN"/>
              </w:rPr>
              <w:t>”变更为“</w:t>
            </w:r>
            <w:r>
              <w:rPr>
                <w:color w:val="FF0000"/>
                <w:sz w:val="21"/>
                <w:szCs w:val="21"/>
              </w:rPr>
              <w:t>成都市温江区科兴路西段6</w:t>
            </w:r>
            <w:r>
              <w:rPr>
                <w:rFonts w:hint="eastAsia"/>
                <w:color w:val="FF0000"/>
                <w:sz w:val="21"/>
                <w:szCs w:val="21"/>
                <w:lang w:val="en-US" w:eastAsia="zh-CN"/>
              </w:rPr>
              <w:t>8</w:t>
            </w:r>
            <w:r>
              <w:rPr>
                <w:color w:val="FF0000"/>
                <w:sz w:val="21"/>
                <w:szCs w:val="21"/>
              </w:rPr>
              <w:t>8号</w:t>
            </w:r>
            <w:r>
              <w:rPr>
                <w:rFonts w:hint="eastAsia"/>
                <w:color w:val="FF0000"/>
                <w:sz w:val="21"/>
                <w:szCs w:val="21"/>
                <w:lang w:val="en-US" w:eastAsia="zh-CN"/>
              </w:rPr>
              <w:t>华银工业港</w:t>
            </w:r>
            <w:r>
              <w:rPr>
                <w:color w:val="FF0000"/>
                <w:sz w:val="21"/>
                <w:szCs w:val="21"/>
              </w:rPr>
              <w:t>12区2号</w:t>
            </w:r>
            <w:r>
              <w:rPr>
                <w:rFonts w:hint="eastAsia"/>
                <w:color w:val="FF0000"/>
                <w:sz w:val="21"/>
                <w:szCs w:val="21"/>
                <w:lang w:val="en-US" w:eastAsia="zh-CN"/>
              </w:rPr>
              <w:t>”——见变更信息传递单。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4"/>
        <w:rPr>
          <w:rFonts w:eastAsia="黑体" w:cs="Arial"/>
          <w:sz w:val="21"/>
          <w:szCs w:val="21"/>
          <w:lang w:val="en-US" w:eastAsia="ja-JP"/>
        </w:rPr>
      </w:pPr>
      <w:r>
        <w:rPr>
          <w:rFonts w:eastAsia="黑体"/>
          <w:sz w:val="21"/>
          <w:szCs w:val="21"/>
          <w:lang w:eastAsia="zh-CN"/>
        </w:rPr>
        <w:t>认证覆盖以下各场所/场地及其对应的范围:</w:t>
      </w:r>
    </w:p>
    <w:tbl>
      <w:tblPr>
        <w:tblStyle w:val="12"/>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119"/>
        <w:gridCol w:w="640"/>
        <w:gridCol w:w="1780"/>
        <w:gridCol w:w="17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5"/>
              <w:spacing w:before="0" w:after="0"/>
              <w:rPr>
                <w:rFonts w:eastAsia="黑体" w:cs="Arial"/>
                <w:sz w:val="21"/>
                <w:szCs w:val="21"/>
                <w:lang w:eastAsia="zh-CN"/>
              </w:rPr>
            </w:pPr>
            <w:r>
              <w:rPr>
                <w:rFonts w:eastAsia="黑体" w:cs="Arial"/>
                <w:sz w:val="21"/>
                <w:szCs w:val="21"/>
                <w:lang w:eastAsia="zh-CN"/>
              </w:rPr>
              <w:t>场所编号</w:t>
            </w:r>
          </w:p>
          <w:p>
            <w:pPr>
              <w:pStyle w:val="25"/>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119"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经营场所的地址</w:t>
            </w:r>
          </w:p>
        </w:tc>
        <w:tc>
          <w:tcPr>
            <w:tcW w:w="640"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员工人数</w:t>
            </w:r>
          </w:p>
        </w:tc>
        <w:tc>
          <w:tcPr>
            <w:tcW w:w="1780" w:type="dxa"/>
            <w:shd w:val="clear" w:color="auto" w:fill="F3F3F3"/>
            <w:tcMar>
              <w:left w:w="57" w:type="dxa"/>
              <w:right w:w="57" w:type="dxa"/>
            </w:tcMar>
          </w:tcPr>
          <w:p>
            <w:pPr>
              <w:pStyle w:val="25"/>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5"/>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71"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成都声浮科技有限公司</w:t>
            </w:r>
            <w:r>
              <w:rPr>
                <w:rFonts w:hint="eastAsia"/>
                <w:sz w:val="21"/>
                <w:szCs w:val="21"/>
                <w:lang w:val="en-US" w:eastAsia="zh-CN"/>
              </w:rPr>
              <w:t>/</w:t>
            </w:r>
            <w:r>
              <w:rPr>
                <w:sz w:val="21"/>
                <w:szCs w:val="21"/>
              </w:rPr>
              <w:t>中国（四川）自由贸易试验区成都高新区天府大道中段530号2栋1806号</w:t>
            </w:r>
          </w:p>
        </w:tc>
        <w:tc>
          <w:tcPr>
            <w:tcW w:w="2119" w:type="dxa"/>
          </w:tcPr>
          <w:p>
            <w:pPr>
              <w:spacing w:before="40" w:after="40"/>
              <w:rPr>
                <w:rFonts w:hint="default" w:eastAsia="黑体"/>
                <w:szCs w:val="21"/>
                <w:lang w:val="en-US" w:eastAsia="ja-JP"/>
              </w:rPr>
            </w:pPr>
            <w:r>
              <w:rPr>
                <w:color w:val="FF0000"/>
                <w:sz w:val="21"/>
                <w:szCs w:val="21"/>
              </w:rPr>
              <w:t>成都市温江区科兴路西段6</w:t>
            </w:r>
            <w:r>
              <w:rPr>
                <w:rFonts w:hint="eastAsia"/>
                <w:color w:val="FF0000"/>
                <w:sz w:val="21"/>
                <w:szCs w:val="21"/>
                <w:lang w:val="en-US" w:eastAsia="zh-CN"/>
              </w:rPr>
              <w:t>8</w:t>
            </w:r>
            <w:r>
              <w:rPr>
                <w:color w:val="FF0000"/>
                <w:sz w:val="21"/>
                <w:szCs w:val="21"/>
              </w:rPr>
              <w:t>8号</w:t>
            </w:r>
            <w:r>
              <w:rPr>
                <w:rFonts w:hint="eastAsia"/>
                <w:color w:val="FF0000"/>
                <w:sz w:val="21"/>
                <w:szCs w:val="21"/>
                <w:lang w:val="en-US" w:eastAsia="zh-CN"/>
              </w:rPr>
              <w:t>华银工业港</w:t>
            </w:r>
            <w:r>
              <w:rPr>
                <w:color w:val="FF0000"/>
                <w:sz w:val="21"/>
                <w:szCs w:val="21"/>
              </w:rPr>
              <w:t>12区2号</w:t>
            </w:r>
          </w:p>
        </w:tc>
        <w:tc>
          <w:tcPr>
            <w:tcW w:w="640" w:type="dxa"/>
            <w:vAlign w:val="center"/>
          </w:tcPr>
          <w:p>
            <w:pPr>
              <w:spacing w:before="40" w:after="40"/>
              <w:rPr>
                <w:rFonts w:hint="default" w:eastAsia="黑体"/>
                <w:szCs w:val="21"/>
                <w:lang w:val="en-US" w:eastAsia="zh-CN"/>
              </w:rPr>
            </w:pPr>
            <w:r>
              <w:rPr>
                <w:rFonts w:hint="eastAsia" w:eastAsia="黑体"/>
                <w:szCs w:val="21"/>
                <w:lang w:val="en-US" w:eastAsia="zh-CN"/>
              </w:rPr>
              <w:t>8人</w:t>
            </w:r>
          </w:p>
        </w:tc>
        <w:tc>
          <w:tcPr>
            <w:tcW w:w="1780" w:type="dxa"/>
            <w:vAlign w:val="center"/>
          </w:tcPr>
          <w:p>
            <w:pPr>
              <w:pStyle w:val="23"/>
              <w:rPr>
                <w:rFonts w:eastAsia="黑体" w:cs="Arial"/>
                <w:sz w:val="21"/>
                <w:szCs w:val="21"/>
                <w:lang w:val="en-US" w:eastAsia="ja-JP"/>
              </w:rPr>
            </w:pPr>
            <w:r>
              <w:t>超声波流量计、超声波水表的研发和销售，计算机软件开发和销售所涉及的能源管理活动</w:t>
            </w:r>
          </w:p>
        </w:tc>
        <w:tc>
          <w:tcPr>
            <w:tcW w:w="1771" w:type="dxa"/>
            <w:vAlign w:val="center"/>
          </w:tcPr>
          <w:p>
            <w:pPr>
              <w:spacing w:before="40" w:after="40"/>
              <w:rPr>
                <w:rFonts w:hint="eastAsia"/>
                <w:lang w:val="en-US" w:eastAsia="zh-CN"/>
              </w:rPr>
            </w:pPr>
            <w:r>
              <w:rPr>
                <w:rFonts w:hint="eastAsia"/>
                <w:lang w:val="en-US" w:eastAsia="zh-CN"/>
              </w:rPr>
              <w:t>GB/T23331-2020</w:t>
            </w:r>
          </w:p>
          <w:p>
            <w:pPr>
              <w:spacing w:before="40" w:after="40"/>
              <w:rPr>
                <w:rFonts w:eastAsia="黑体"/>
                <w:szCs w:val="21"/>
                <w:lang w:eastAsia="ja-JP"/>
              </w:rPr>
            </w:pPr>
            <w:r>
              <w:rPr>
                <w:rFonts w:hint="eastAsia" w:eastAsia="黑体"/>
                <w:szCs w:val="21"/>
                <w:lang w:val="en-US" w:eastAsia="zh-CN"/>
              </w:rPr>
              <w:t>RB/T101-2013</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119" w:type="dxa"/>
            <w:vAlign w:val="center"/>
          </w:tcPr>
          <w:p>
            <w:pPr>
              <w:spacing w:before="40" w:after="40"/>
              <w:rPr>
                <w:rFonts w:eastAsia="黑体"/>
                <w:szCs w:val="21"/>
                <w:lang w:eastAsia="ja-JP"/>
              </w:rPr>
            </w:pPr>
          </w:p>
        </w:tc>
        <w:tc>
          <w:tcPr>
            <w:tcW w:w="640" w:type="dxa"/>
            <w:vAlign w:val="center"/>
          </w:tcPr>
          <w:p>
            <w:pPr>
              <w:spacing w:before="40" w:after="40"/>
              <w:rPr>
                <w:rFonts w:eastAsia="黑体"/>
                <w:szCs w:val="21"/>
                <w:lang w:eastAsia="ja-JP"/>
              </w:rPr>
            </w:pPr>
          </w:p>
        </w:tc>
        <w:tc>
          <w:tcPr>
            <w:tcW w:w="1780" w:type="dxa"/>
            <w:vAlign w:val="center"/>
          </w:tcPr>
          <w:p>
            <w:pPr>
              <w:spacing w:before="40" w:after="40"/>
              <w:rPr>
                <w:rFonts w:eastAsia="黑体"/>
                <w:szCs w:val="21"/>
                <w:lang w:eastAsia="ja-JP"/>
              </w:rPr>
            </w:pPr>
          </w:p>
        </w:tc>
        <w:tc>
          <w:tcPr>
            <w:tcW w:w="177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119" w:type="dxa"/>
            <w:vAlign w:val="center"/>
          </w:tcPr>
          <w:p>
            <w:pPr>
              <w:spacing w:before="40" w:after="40"/>
              <w:rPr>
                <w:rFonts w:eastAsia="黑体"/>
                <w:szCs w:val="21"/>
                <w:lang w:eastAsia="ja-JP"/>
              </w:rPr>
            </w:pPr>
          </w:p>
        </w:tc>
        <w:tc>
          <w:tcPr>
            <w:tcW w:w="640" w:type="dxa"/>
            <w:vAlign w:val="center"/>
          </w:tcPr>
          <w:p>
            <w:pPr>
              <w:spacing w:before="40" w:after="40"/>
              <w:rPr>
                <w:rFonts w:eastAsia="黑体"/>
                <w:szCs w:val="21"/>
                <w:lang w:eastAsia="ja-JP"/>
              </w:rPr>
            </w:pPr>
          </w:p>
        </w:tc>
        <w:tc>
          <w:tcPr>
            <w:tcW w:w="1780" w:type="dxa"/>
            <w:vAlign w:val="center"/>
          </w:tcPr>
          <w:p>
            <w:pPr>
              <w:spacing w:before="40" w:after="40"/>
              <w:rPr>
                <w:rFonts w:eastAsia="黑体"/>
                <w:szCs w:val="21"/>
                <w:lang w:eastAsia="ja-JP"/>
              </w:rPr>
            </w:pPr>
          </w:p>
        </w:tc>
        <w:tc>
          <w:tcPr>
            <w:tcW w:w="177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2"/>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5"/>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2"/>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highlight w:val="none"/>
                <w:u w:val="single"/>
                <w:lang w:val="en-US" w:eastAsia="zh-CN"/>
              </w:rPr>
              <w:t>2022</w:t>
            </w:r>
            <w:r>
              <w:rPr>
                <w:rFonts w:hint="eastAsia" w:ascii="宋体" w:hAnsi="宋体"/>
                <w:b/>
                <w:color w:val="000000"/>
                <w:szCs w:val="21"/>
                <w:highlight w:val="none"/>
                <w:u w:val="single"/>
              </w:rPr>
              <w:t>年</w:t>
            </w:r>
            <w:r>
              <w:rPr>
                <w:rFonts w:hint="eastAsia" w:ascii="宋体" w:hAnsi="宋体"/>
                <w:b/>
                <w:color w:val="000000"/>
                <w:szCs w:val="21"/>
                <w:highlight w:val="none"/>
                <w:u w:val="single"/>
                <w:lang w:val="en-US" w:eastAsia="zh-CN"/>
              </w:rPr>
              <w:t>1</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16</w:t>
            </w:r>
            <w:r>
              <w:rPr>
                <w:rFonts w:hint="eastAsia" w:ascii="宋体" w:hAnsi="宋体"/>
                <w:b/>
                <w:color w:val="000000"/>
                <w:szCs w:val="21"/>
                <w:highlight w:val="none"/>
                <w:u w:val="single"/>
              </w:rPr>
              <w:t>日</w:t>
            </w:r>
            <w:r>
              <w:rPr>
                <w:rFonts w:hint="eastAsia" w:ascii="宋体" w:hAnsi="宋体"/>
                <w:b/>
                <w:color w:val="000000"/>
                <w:szCs w:val="21"/>
              </w:rPr>
              <w:t>起按照标准的要求，建立了文件化的管理体系，对管理体系文件进行发布和对全员进行了贯彻。</w:t>
            </w:r>
            <w:r>
              <w:rPr>
                <w:rFonts w:hint="eastAsia" w:ascii="宋体" w:hAnsi="宋体"/>
                <w:b/>
                <w:color w:val="000000"/>
                <w:szCs w:val="21"/>
                <w:lang w:val="en-US" w:eastAsia="zh-CN"/>
              </w:rPr>
              <w:t>能源</w:t>
            </w:r>
            <w:r>
              <w:rPr>
                <w:rFonts w:hint="eastAsia" w:ascii="宋体" w:hAnsi="宋体"/>
                <w:b/>
                <w:color w:val="000000"/>
                <w:szCs w:val="21"/>
              </w:rPr>
              <w:t>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highlight w:val="none"/>
                <w:lang w:val="en-US" w:eastAsia="zh-CN"/>
              </w:rPr>
              <w:t>2022</w:t>
            </w:r>
            <w:r>
              <w:rPr>
                <w:rFonts w:hint="eastAsia" w:ascii="宋体" w:hAnsi="宋体"/>
                <w:b/>
                <w:color w:val="000000"/>
                <w:szCs w:val="21"/>
                <w:highlight w:val="none"/>
                <w:u w:val="single"/>
              </w:rPr>
              <w:t>年</w:t>
            </w:r>
            <w:r>
              <w:rPr>
                <w:rFonts w:hint="eastAsia" w:ascii="宋体" w:hAnsi="宋体"/>
                <w:b/>
                <w:color w:val="000000"/>
                <w:szCs w:val="21"/>
                <w:highlight w:val="none"/>
                <w:u w:val="single"/>
                <w:lang w:val="en-US" w:eastAsia="zh-CN"/>
              </w:rPr>
              <w:t>7</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20</w:t>
            </w:r>
            <w:r>
              <w:rPr>
                <w:rFonts w:hint="eastAsia" w:ascii="宋体" w:hAnsi="宋体"/>
                <w:b/>
                <w:color w:val="000000"/>
                <w:szCs w:val="21"/>
                <w:highlight w:val="none"/>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5"/>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highlight w:val="none"/>
                <w:lang w:val="en-US" w:eastAsia="zh-CN"/>
              </w:rPr>
              <w:t>2022</w:t>
            </w:r>
            <w:r>
              <w:rPr>
                <w:rFonts w:hint="eastAsia" w:ascii="宋体" w:hAnsi="宋体" w:eastAsia="宋体"/>
                <w:color w:val="000000"/>
                <w:sz w:val="21"/>
                <w:szCs w:val="21"/>
                <w:highlight w:val="none"/>
                <w:u w:val="single"/>
                <w:lang w:val="en-US" w:eastAsia="zh-CN"/>
              </w:rPr>
              <w:t>年7月25日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12"/>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92D050"/>
          </w:tcPr>
          <w:p>
            <w:pPr>
              <w:rPr>
                <w:rFonts w:hint="eastAsia" w:ascii="宋体" w:eastAsia="宋体"/>
                <w:color w:val="000000"/>
                <w:spacing w:val="-10"/>
                <w:szCs w:val="21"/>
                <w:lang w:eastAsia="zh-CN"/>
              </w:rPr>
            </w:pPr>
            <w:r>
              <w:rPr>
                <w:rFonts w:hint="eastAsia" w:ascii="宋体" w:hAnsi="宋体"/>
                <w:color w:val="000000"/>
                <w:szCs w:val="21"/>
              </w:rPr>
              <w:sym w:font="Wingdings 2" w:char="0052"/>
            </w:r>
            <w:r>
              <w:rPr>
                <w:rFonts w:hint="eastAsia" w:ascii="宋体" w:hAnsi="宋体"/>
                <w:color w:val="000000"/>
                <w:szCs w:val="21"/>
                <w:lang w:val="en-US" w:eastAsia="zh-CN"/>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r>
              <w:rPr>
                <w:rFonts w:hint="eastAsia" w:ascii="宋体" w:hAnsi="宋体"/>
                <w:color w:val="000000"/>
                <w:sz w:val="20"/>
                <w:szCs w:val="20"/>
                <w:lang w:eastAsia="zh-CN"/>
              </w:rPr>
              <w:t>——</w:t>
            </w:r>
            <w:r>
              <w:rPr>
                <w:rFonts w:hint="eastAsia" w:ascii="宋体" w:hAnsi="宋体"/>
                <w:color w:val="000000"/>
                <w:sz w:val="20"/>
                <w:szCs w:val="20"/>
                <w:lang w:val="en-US" w:eastAsia="zh-CN"/>
              </w:rPr>
              <w:t>不涉及</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default" w:ascii="宋体" w:hAnsi="宋体" w:eastAsia="宋体"/>
                <w:color w:val="000000"/>
                <w:szCs w:val="21"/>
                <w:lang w:val="en-US" w:eastAsia="zh-CN"/>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r>
              <w:rPr>
                <w:rFonts w:hint="eastAsia" w:ascii="宋体" w:hAnsi="宋体"/>
                <w:color w:val="000000"/>
                <w:szCs w:val="21"/>
                <w:lang w:eastAsia="zh-CN"/>
              </w:rPr>
              <w:t>——</w:t>
            </w:r>
            <w:r>
              <w:rPr>
                <w:rFonts w:hint="eastAsia" w:ascii="宋体" w:hAnsi="宋体"/>
                <w:color w:val="000000"/>
                <w:szCs w:val="21"/>
                <w:lang w:val="en-US" w:eastAsia="zh-CN"/>
              </w:rPr>
              <w:t>不适用</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A3"/>
            </w:r>
            <w:r>
              <w:rPr>
                <w:rFonts w:hint="eastAsia" w:ascii="宋体"/>
                <w:color w:val="000000"/>
                <w:spacing w:val="-10"/>
                <w:szCs w:val="21"/>
                <w:lang w:val="en-US" w:eastAsia="zh-CN"/>
              </w:rPr>
              <w:t>生产部</w:t>
            </w:r>
            <w:r>
              <w:rPr>
                <w:rFonts w:hint="eastAsia" w:ascii="宋体"/>
                <w:color w:val="000000"/>
                <w:spacing w:val="-10"/>
                <w:szCs w:val="21"/>
              </w:rPr>
              <w:t>、□能源计量管理，□作业现场能源使用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2"/>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rPr>
              <w:t>2022-08-</w:t>
            </w:r>
            <w:bookmarkEnd w:id="33"/>
            <w:r>
              <w:rPr>
                <w:rFonts w:hint="eastAsia" w:ascii="宋体"/>
                <w:b/>
                <w:color w:val="000000"/>
                <w:szCs w:val="21"/>
                <w:lang w:val="en-US" w:eastAsia="zh-CN"/>
              </w:rPr>
              <w:t>16</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2"/>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2"/>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1891665</wp:posOffset>
            </wp:positionH>
            <wp:positionV relativeFrom="paragraph">
              <wp:posOffset>338455</wp:posOffset>
            </wp:positionV>
            <wp:extent cx="777240" cy="374650"/>
            <wp:effectExtent l="0" t="0" r="0" b="0"/>
            <wp:wrapSquare wrapText="bothSides"/>
            <wp:docPr id="2"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丽英电子签"/>
                    <pic:cNvPicPr>
                      <a:picLocks noChangeAspect="1"/>
                    </pic:cNvPicPr>
                  </pic:nvPicPr>
                  <pic:blipFill>
                    <a:blip r:embed="rId6"/>
                    <a:stretch>
                      <a:fillRect/>
                    </a:stretch>
                  </pic:blipFill>
                  <pic:spPr>
                    <a:xfrm>
                      <a:off x="0" y="0"/>
                      <a:ext cx="777240" cy="37465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2022.8.12</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bookmarkStart w:id="34" w:name="_GoBack"/>
      <w:r>
        <w:drawing>
          <wp:inline distT="0" distB="0" distL="114300" distR="114300">
            <wp:extent cx="4305300" cy="6228715"/>
            <wp:effectExtent l="0" t="0" r="0" b="698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4305300" cy="6228715"/>
                    </a:xfrm>
                    <a:prstGeom prst="rect">
                      <a:avLst/>
                    </a:prstGeom>
                    <a:noFill/>
                    <a:ln>
                      <a:noFill/>
                    </a:ln>
                  </pic:spPr>
                </pic:pic>
              </a:graphicData>
            </a:graphic>
          </wp:inline>
        </w:drawing>
      </w:r>
      <w:bookmarkEnd w:id="34"/>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9"/>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9"/>
        <w:pBdr>
          <w:bottom w:val="none" w:color="auto" w:sz="0" w:space="0"/>
        </w:pBdr>
        <w:ind w:right="600"/>
        <w:jc w:val="both"/>
        <w:rPr>
          <w:rFonts w:eastAsia="隶书"/>
          <w:color w:val="000000"/>
          <w:sz w:val="21"/>
          <w:szCs w:val="21"/>
        </w:rPr>
      </w:pPr>
      <w:r>
        <w:rPr>
          <w:rFonts w:hint="eastAsia" w:eastAsia="隶书"/>
          <w:color w:val="000000"/>
          <w:sz w:val="21"/>
          <w:szCs w:val="21"/>
        </w:rPr>
        <w:t>受审核方：成都声立德克技术有限公司</w:t>
      </w:r>
    </w:p>
    <w:tbl>
      <w:tblPr>
        <w:tblStyle w:val="12"/>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noWrap w:val="0"/>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noWrap w:val="0"/>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noWrap w:val="0"/>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noWrap w:val="0"/>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noWrap w:val="0"/>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noWrap w:val="0"/>
            <w:vAlign w:val="center"/>
          </w:tcPr>
          <w:p>
            <w:pPr>
              <w:pStyle w:val="9"/>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noWrap w:val="0"/>
            <w:vAlign w:val="center"/>
          </w:tcPr>
          <w:p>
            <w:pPr>
              <w:pStyle w:val="9"/>
              <w:keepNext w:val="0"/>
              <w:keepLines w:val="0"/>
              <w:pageBreakBefore w:val="0"/>
              <w:widowControl w:val="0"/>
              <w:pBdr>
                <w:bottom w:val="none" w:color="auto" w:sz="0" w:space="0"/>
              </w:pBdr>
              <w:tabs>
                <w:tab w:val="center" w:pos="5737"/>
                <w:tab w:val="clear" w:pos="4153"/>
              </w:tabs>
              <w:kinsoku/>
              <w:wordWrap/>
              <w:overflowPunct/>
              <w:topLinePunct w:val="0"/>
              <w:autoSpaceDE/>
              <w:autoSpaceDN/>
              <w:bidi w:val="0"/>
              <w:adjustRightInd/>
              <w:spacing w:before="157" w:beforeLines="50" w:line="240" w:lineRule="auto"/>
              <w:jc w:val="both"/>
              <w:textAlignment w:val="auto"/>
              <w:rPr>
                <w:rFonts w:hint="default"/>
                <w:color w:val="000000"/>
                <w:sz w:val="21"/>
                <w:szCs w:val="21"/>
                <w:lang w:val="en-US" w:eastAsia="zh-CN"/>
              </w:rPr>
            </w:pPr>
            <w:r>
              <w:rPr>
                <w:rFonts w:hint="eastAsia"/>
                <w:color w:val="000000"/>
                <w:sz w:val="21"/>
                <w:szCs w:val="21"/>
                <w:lang w:val="en-US" w:eastAsia="zh-CN"/>
              </w:rPr>
              <w:t>提供的《适用的法律法规和其他要求清单》：中华人民共和国节约能源法、重点用能单位管理办法、综合能耗计算通则、企业节能量计算方法等已过期未更新；我识别《36713-2018《 能源管理体系 能源基准和能源绩效参数》；设备热效率计算通则已作废。</w:t>
            </w:r>
          </w:p>
        </w:tc>
        <w:tc>
          <w:tcPr>
            <w:tcW w:w="922" w:type="dxa"/>
            <w:noWrap w:val="0"/>
            <w:vAlign w:val="center"/>
          </w:tcPr>
          <w:p>
            <w:pPr>
              <w:pStyle w:val="9"/>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En</w:t>
            </w:r>
          </w:p>
        </w:tc>
        <w:tc>
          <w:tcPr>
            <w:tcW w:w="1133" w:type="dxa"/>
            <w:noWrap w:val="0"/>
            <w:vAlign w:val="center"/>
          </w:tcPr>
          <w:p>
            <w:pPr>
              <w:pStyle w:val="9"/>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4.2</w:t>
            </w:r>
          </w:p>
        </w:tc>
        <w:tc>
          <w:tcPr>
            <w:tcW w:w="934" w:type="dxa"/>
            <w:noWrap w:val="0"/>
            <w:vAlign w:val="center"/>
          </w:tcPr>
          <w:p>
            <w:pPr>
              <w:pStyle w:val="9"/>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8" w:type="dxa"/>
            <w:noWrap w:val="0"/>
            <w:vAlign w:val="center"/>
          </w:tcPr>
          <w:p>
            <w:pPr>
              <w:pStyle w:val="9"/>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noWrap w:val="0"/>
            <w:vAlign w:val="center"/>
          </w:tcPr>
          <w:p>
            <w:pPr>
              <w:pStyle w:val="9"/>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能源评审报告内容不全，需完善。</w:t>
            </w:r>
          </w:p>
        </w:tc>
        <w:tc>
          <w:tcPr>
            <w:tcW w:w="922" w:type="dxa"/>
            <w:noWrap w:val="0"/>
            <w:vAlign w:val="center"/>
          </w:tcPr>
          <w:p>
            <w:pPr>
              <w:pStyle w:val="9"/>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En</w:t>
            </w:r>
          </w:p>
        </w:tc>
        <w:tc>
          <w:tcPr>
            <w:tcW w:w="1133" w:type="dxa"/>
            <w:noWrap w:val="0"/>
            <w:vAlign w:val="center"/>
          </w:tcPr>
          <w:p>
            <w:pPr>
              <w:pStyle w:val="9"/>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6.3</w:t>
            </w:r>
          </w:p>
        </w:tc>
        <w:tc>
          <w:tcPr>
            <w:tcW w:w="934" w:type="dxa"/>
            <w:noWrap w:val="0"/>
            <w:vAlign w:val="center"/>
          </w:tcPr>
          <w:p>
            <w:pPr>
              <w:pStyle w:val="9"/>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48" w:type="dxa"/>
            <w:noWrap w:val="0"/>
            <w:vAlign w:val="center"/>
          </w:tcPr>
          <w:p>
            <w:pPr>
              <w:pStyle w:val="9"/>
              <w:pBdr>
                <w:bottom w:val="none" w:color="auto" w:sz="0" w:space="0"/>
              </w:pBdr>
              <w:ind w:right="600"/>
              <w:jc w:val="both"/>
              <w:rPr>
                <w:rFonts w:hint="eastAsia" w:ascii="宋体" w:eastAsia="宋体"/>
                <w:color w:val="000000"/>
                <w:sz w:val="21"/>
                <w:szCs w:val="21"/>
                <w:lang w:val="en-US" w:eastAsia="zh-CN"/>
              </w:rPr>
            </w:pPr>
          </w:p>
        </w:tc>
        <w:tc>
          <w:tcPr>
            <w:tcW w:w="6191" w:type="dxa"/>
            <w:gridSpan w:val="2"/>
            <w:noWrap w:val="0"/>
            <w:vAlign w:val="center"/>
          </w:tcPr>
          <w:p>
            <w:pPr>
              <w:pStyle w:val="9"/>
              <w:pBdr>
                <w:bottom w:val="none" w:color="auto" w:sz="0" w:space="0"/>
              </w:pBdr>
              <w:tabs>
                <w:tab w:val="center" w:pos="5737"/>
                <w:tab w:val="clear" w:pos="4153"/>
              </w:tabs>
              <w:jc w:val="both"/>
              <w:rPr>
                <w:rFonts w:hint="default" w:eastAsia="宋体"/>
                <w:color w:val="000000"/>
                <w:sz w:val="21"/>
                <w:szCs w:val="21"/>
                <w:lang w:val="en-US" w:eastAsia="zh-CN"/>
              </w:rPr>
            </w:pPr>
          </w:p>
        </w:tc>
        <w:tc>
          <w:tcPr>
            <w:tcW w:w="922" w:type="dxa"/>
            <w:noWrap w:val="0"/>
            <w:vAlign w:val="center"/>
          </w:tcPr>
          <w:p>
            <w:pPr>
              <w:pStyle w:val="9"/>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1133" w:type="dxa"/>
            <w:noWrap w:val="0"/>
            <w:vAlign w:val="center"/>
          </w:tcPr>
          <w:p>
            <w:pPr>
              <w:pStyle w:val="9"/>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p>
        </w:tc>
        <w:tc>
          <w:tcPr>
            <w:tcW w:w="934" w:type="dxa"/>
            <w:noWrap w:val="0"/>
            <w:vAlign w:val="center"/>
          </w:tcPr>
          <w:p>
            <w:pPr>
              <w:pStyle w:val="9"/>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48" w:type="dxa"/>
            <w:noWrap w:val="0"/>
            <w:vAlign w:val="center"/>
          </w:tcPr>
          <w:p>
            <w:pPr>
              <w:pStyle w:val="9"/>
              <w:pBdr>
                <w:bottom w:val="none" w:color="auto" w:sz="0" w:space="0"/>
              </w:pBdr>
              <w:ind w:right="600"/>
              <w:jc w:val="both"/>
              <w:rPr>
                <w:rFonts w:hint="default" w:ascii="宋体"/>
                <w:color w:val="000000"/>
                <w:sz w:val="21"/>
                <w:szCs w:val="21"/>
                <w:lang w:val="en-US" w:eastAsia="zh-CN"/>
              </w:rPr>
            </w:pPr>
          </w:p>
        </w:tc>
        <w:tc>
          <w:tcPr>
            <w:tcW w:w="6191" w:type="dxa"/>
            <w:gridSpan w:val="2"/>
            <w:noWrap w:val="0"/>
            <w:vAlign w:val="center"/>
          </w:tcPr>
          <w:p>
            <w:pPr>
              <w:pStyle w:val="9"/>
              <w:pBdr>
                <w:bottom w:val="none" w:color="auto" w:sz="0" w:space="0"/>
              </w:pBdr>
              <w:tabs>
                <w:tab w:val="center" w:pos="5737"/>
                <w:tab w:val="clear" w:pos="4153"/>
              </w:tabs>
              <w:jc w:val="both"/>
              <w:rPr>
                <w:rFonts w:hint="default"/>
                <w:color w:val="000000"/>
                <w:sz w:val="21"/>
                <w:szCs w:val="21"/>
                <w:lang w:val="en-US" w:eastAsia="zh-CN"/>
              </w:rPr>
            </w:pPr>
          </w:p>
        </w:tc>
        <w:tc>
          <w:tcPr>
            <w:tcW w:w="922" w:type="dxa"/>
            <w:noWrap w:val="0"/>
            <w:vAlign w:val="center"/>
          </w:tcPr>
          <w:p>
            <w:pPr>
              <w:pStyle w:val="9"/>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p>
        </w:tc>
        <w:tc>
          <w:tcPr>
            <w:tcW w:w="1133" w:type="dxa"/>
            <w:noWrap w:val="0"/>
            <w:vAlign w:val="center"/>
          </w:tcPr>
          <w:p>
            <w:pPr>
              <w:pStyle w:val="9"/>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p>
        </w:tc>
        <w:tc>
          <w:tcPr>
            <w:tcW w:w="934" w:type="dxa"/>
            <w:noWrap w:val="0"/>
            <w:vAlign w:val="center"/>
          </w:tcPr>
          <w:p>
            <w:pPr>
              <w:pStyle w:val="9"/>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48" w:type="dxa"/>
            <w:noWrap w:val="0"/>
            <w:vAlign w:val="center"/>
          </w:tcPr>
          <w:p>
            <w:pPr>
              <w:pStyle w:val="9"/>
              <w:pBdr>
                <w:bottom w:val="none" w:color="auto" w:sz="0" w:space="0"/>
              </w:pBdr>
              <w:ind w:right="600"/>
              <w:jc w:val="both"/>
              <w:rPr>
                <w:rFonts w:hint="default" w:ascii="宋体"/>
                <w:color w:val="000000"/>
                <w:sz w:val="21"/>
                <w:szCs w:val="21"/>
                <w:lang w:val="en-US" w:eastAsia="zh-CN"/>
              </w:rPr>
            </w:pPr>
          </w:p>
        </w:tc>
        <w:tc>
          <w:tcPr>
            <w:tcW w:w="6191" w:type="dxa"/>
            <w:gridSpan w:val="2"/>
            <w:noWrap w:val="0"/>
            <w:vAlign w:val="center"/>
          </w:tcPr>
          <w:p>
            <w:pPr>
              <w:pStyle w:val="9"/>
              <w:pBdr>
                <w:bottom w:val="none" w:color="auto" w:sz="0" w:space="0"/>
              </w:pBdr>
              <w:tabs>
                <w:tab w:val="center" w:pos="5737"/>
                <w:tab w:val="clear" w:pos="4153"/>
              </w:tabs>
              <w:jc w:val="both"/>
              <w:rPr>
                <w:rFonts w:hint="eastAsia"/>
                <w:color w:val="000000"/>
                <w:sz w:val="21"/>
                <w:szCs w:val="21"/>
                <w:lang w:val="en-US" w:eastAsia="zh-CN"/>
              </w:rPr>
            </w:pPr>
          </w:p>
        </w:tc>
        <w:tc>
          <w:tcPr>
            <w:tcW w:w="922" w:type="dxa"/>
            <w:noWrap w:val="0"/>
            <w:vAlign w:val="center"/>
          </w:tcPr>
          <w:p>
            <w:pPr>
              <w:pStyle w:val="9"/>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p>
        </w:tc>
        <w:tc>
          <w:tcPr>
            <w:tcW w:w="1133" w:type="dxa"/>
            <w:noWrap w:val="0"/>
            <w:vAlign w:val="center"/>
          </w:tcPr>
          <w:p>
            <w:pPr>
              <w:pStyle w:val="9"/>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c>
          <w:tcPr>
            <w:tcW w:w="934" w:type="dxa"/>
            <w:noWrap w:val="0"/>
            <w:vAlign w:val="center"/>
          </w:tcPr>
          <w:p>
            <w:pPr>
              <w:pStyle w:val="9"/>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48" w:type="dxa"/>
            <w:noWrap w:val="0"/>
            <w:vAlign w:val="center"/>
          </w:tcPr>
          <w:p>
            <w:pPr>
              <w:pStyle w:val="9"/>
              <w:pBdr>
                <w:bottom w:val="none" w:color="auto" w:sz="0" w:space="0"/>
              </w:pBdr>
              <w:ind w:right="600"/>
              <w:jc w:val="both"/>
              <w:rPr>
                <w:rFonts w:hint="default" w:ascii="宋体"/>
                <w:color w:val="000000"/>
                <w:sz w:val="21"/>
                <w:szCs w:val="21"/>
                <w:lang w:val="en-US" w:eastAsia="zh-CN"/>
              </w:rPr>
            </w:pPr>
          </w:p>
        </w:tc>
        <w:tc>
          <w:tcPr>
            <w:tcW w:w="6191" w:type="dxa"/>
            <w:gridSpan w:val="2"/>
            <w:noWrap w:val="0"/>
            <w:vAlign w:val="center"/>
          </w:tcPr>
          <w:p>
            <w:pPr>
              <w:pStyle w:val="9"/>
              <w:pBdr>
                <w:bottom w:val="none" w:color="auto" w:sz="0" w:space="0"/>
              </w:pBdr>
              <w:tabs>
                <w:tab w:val="center" w:pos="5737"/>
                <w:tab w:val="clear" w:pos="4153"/>
              </w:tabs>
              <w:jc w:val="both"/>
              <w:rPr>
                <w:rFonts w:hint="eastAsia"/>
                <w:color w:val="000000"/>
                <w:sz w:val="21"/>
                <w:szCs w:val="21"/>
                <w:lang w:val="en-US" w:eastAsia="zh-CN"/>
              </w:rPr>
            </w:pPr>
          </w:p>
        </w:tc>
        <w:tc>
          <w:tcPr>
            <w:tcW w:w="922" w:type="dxa"/>
            <w:noWrap w:val="0"/>
            <w:vAlign w:val="center"/>
          </w:tcPr>
          <w:p>
            <w:pPr>
              <w:pStyle w:val="9"/>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p>
        </w:tc>
        <w:tc>
          <w:tcPr>
            <w:tcW w:w="1133" w:type="dxa"/>
            <w:noWrap w:val="0"/>
            <w:vAlign w:val="center"/>
          </w:tcPr>
          <w:p>
            <w:pPr>
              <w:pStyle w:val="9"/>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c>
          <w:tcPr>
            <w:tcW w:w="934" w:type="dxa"/>
            <w:noWrap w:val="0"/>
            <w:vAlign w:val="center"/>
          </w:tcPr>
          <w:p>
            <w:pPr>
              <w:pStyle w:val="9"/>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48" w:type="dxa"/>
            <w:noWrap w:val="0"/>
            <w:vAlign w:val="center"/>
          </w:tcPr>
          <w:p>
            <w:pPr>
              <w:pStyle w:val="9"/>
              <w:pBdr>
                <w:bottom w:val="none" w:color="auto" w:sz="0" w:space="0"/>
              </w:pBdr>
              <w:ind w:right="600"/>
              <w:jc w:val="both"/>
              <w:rPr>
                <w:rFonts w:hint="eastAsia" w:ascii="宋体"/>
                <w:color w:val="000000"/>
                <w:sz w:val="21"/>
                <w:szCs w:val="21"/>
                <w:lang w:val="en-US" w:eastAsia="zh-CN"/>
              </w:rPr>
            </w:pPr>
          </w:p>
        </w:tc>
        <w:tc>
          <w:tcPr>
            <w:tcW w:w="6191" w:type="dxa"/>
            <w:gridSpan w:val="2"/>
            <w:noWrap w:val="0"/>
            <w:vAlign w:val="center"/>
          </w:tcPr>
          <w:p>
            <w:pPr>
              <w:pStyle w:val="9"/>
              <w:pBdr>
                <w:bottom w:val="none" w:color="auto" w:sz="0" w:space="0"/>
              </w:pBdr>
              <w:tabs>
                <w:tab w:val="center" w:pos="5737"/>
                <w:tab w:val="clear" w:pos="4153"/>
              </w:tabs>
              <w:jc w:val="both"/>
              <w:rPr>
                <w:rFonts w:hint="eastAsia"/>
                <w:color w:val="000000"/>
                <w:sz w:val="21"/>
                <w:szCs w:val="21"/>
                <w:lang w:val="en-US" w:eastAsia="zh-CN"/>
              </w:rPr>
            </w:pPr>
          </w:p>
        </w:tc>
        <w:tc>
          <w:tcPr>
            <w:tcW w:w="922" w:type="dxa"/>
            <w:noWrap w:val="0"/>
            <w:vAlign w:val="center"/>
          </w:tcPr>
          <w:p>
            <w:pPr>
              <w:pStyle w:val="9"/>
              <w:pBdr>
                <w:bottom w:val="none" w:color="auto" w:sz="0" w:space="0"/>
              </w:pBdr>
              <w:tabs>
                <w:tab w:val="center" w:pos="5737"/>
                <w:tab w:val="clear" w:pos="4153"/>
              </w:tabs>
              <w:jc w:val="both"/>
              <w:rPr>
                <w:rFonts w:hint="eastAsia" w:eastAsia="宋体" w:cs="Times New Roman"/>
                <w:color w:val="000000"/>
                <w:sz w:val="21"/>
                <w:szCs w:val="21"/>
                <w:lang w:val="en-US" w:eastAsia="zh-CN"/>
              </w:rPr>
            </w:pPr>
          </w:p>
        </w:tc>
        <w:tc>
          <w:tcPr>
            <w:tcW w:w="1133" w:type="dxa"/>
            <w:noWrap w:val="0"/>
            <w:vAlign w:val="center"/>
          </w:tcPr>
          <w:p>
            <w:pPr>
              <w:pStyle w:val="9"/>
              <w:pBdr>
                <w:bottom w:val="none" w:color="auto" w:sz="0" w:space="0"/>
              </w:pBdr>
              <w:ind w:right="600" w:rightChars="0"/>
              <w:jc w:val="both"/>
              <w:rPr>
                <w:rFonts w:hint="eastAsia" w:cs="Times New Roman"/>
                <w:color w:val="000000"/>
                <w:kern w:val="2"/>
                <w:sz w:val="21"/>
                <w:szCs w:val="21"/>
                <w:lang w:val="en-US" w:eastAsia="zh-CN" w:bidi="ar-SA"/>
              </w:rPr>
            </w:pPr>
          </w:p>
        </w:tc>
        <w:tc>
          <w:tcPr>
            <w:tcW w:w="934" w:type="dxa"/>
            <w:noWrap w:val="0"/>
            <w:vAlign w:val="center"/>
          </w:tcPr>
          <w:p>
            <w:pPr>
              <w:pStyle w:val="9"/>
              <w:pBdr>
                <w:bottom w:val="none" w:color="auto" w:sz="0" w:space="0"/>
              </w:pBdr>
              <w:ind w:right="600" w:rightChars="0"/>
              <w:jc w:val="both"/>
              <w:rPr>
                <w:rFonts w:hint="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noWrap w:val="0"/>
            <w:vAlign w:val="top"/>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noWrap w:val="0"/>
            <w:vAlign w:val="top"/>
          </w:tcPr>
          <w:p>
            <w:pPr>
              <w:spacing w:line="280" w:lineRule="exact"/>
              <w:rPr>
                <w:b/>
                <w:color w:val="000000"/>
                <w:szCs w:val="21"/>
              </w:rPr>
            </w:pPr>
            <w:r>
              <w:rPr>
                <w:rFonts w:hint="eastAsia" w:eastAsia="宋体"/>
                <w:sz w:val="21"/>
                <w:szCs w:val="21"/>
                <w:lang w:eastAsia="zh-CN"/>
              </w:rPr>
              <w:drawing>
                <wp:anchor distT="0" distB="0" distL="114300" distR="114300" simplePos="0" relativeHeight="251665408" behindDoc="0" locked="0" layoutInCell="1" allowOverlap="1">
                  <wp:simplePos x="0" y="0"/>
                  <wp:positionH relativeFrom="column">
                    <wp:posOffset>774065</wp:posOffset>
                  </wp:positionH>
                  <wp:positionV relativeFrom="paragraph">
                    <wp:posOffset>81915</wp:posOffset>
                  </wp:positionV>
                  <wp:extent cx="777240" cy="234950"/>
                  <wp:effectExtent l="0" t="0" r="0" b="5715"/>
                  <wp:wrapSquare wrapText="bothSides"/>
                  <wp:docPr id="6" name="图片 6"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丽英电子签"/>
                          <pic:cNvPicPr>
                            <a:picLocks noChangeAspect="1"/>
                          </pic:cNvPicPr>
                        </pic:nvPicPr>
                        <pic:blipFill>
                          <a:blip r:embed="rId6"/>
                          <a:stretch>
                            <a:fillRect/>
                          </a:stretch>
                        </pic:blipFill>
                        <pic:spPr>
                          <a:xfrm>
                            <a:off x="0" y="0"/>
                            <a:ext cx="777240" cy="23495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pStyle w:val="4"/>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12</w:t>
            </w:r>
            <w:r>
              <w:rPr>
                <w:rFonts w:hint="eastAsia"/>
                <w:b/>
                <w:color w:val="000000"/>
                <w:szCs w:val="21"/>
              </w:rPr>
              <w:t>日</w:t>
            </w:r>
          </w:p>
        </w:tc>
        <w:tc>
          <w:tcPr>
            <w:tcW w:w="5392" w:type="dxa"/>
            <w:gridSpan w:val="4"/>
            <w:noWrap w:val="0"/>
            <w:vAlign w:val="top"/>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noWrap w:val="0"/>
            <w:vAlign w:val="top"/>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noWrap w:val="0"/>
            <w:vAlign w:val="top"/>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710565</wp:posOffset>
                  </wp:positionH>
                  <wp:positionV relativeFrom="paragraph">
                    <wp:posOffset>150495</wp:posOffset>
                  </wp:positionV>
                  <wp:extent cx="777240" cy="234950"/>
                  <wp:effectExtent l="0" t="0" r="0" b="5715"/>
                  <wp:wrapSquare wrapText="bothSides"/>
                  <wp:docPr id="3" name="图片 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丽英电子签"/>
                          <pic:cNvPicPr>
                            <a:picLocks noChangeAspect="1"/>
                          </pic:cNvPicPr>
                        </pic:nvPicPr>
                        <pic:blipFill>
                          <a:blip r:embed="rId6"/>
                          <a:stretch>
                            <a:fillRect/>
                          </a:stretch>
                        </pic:blipFill>
                        <pic:spPr>
                          <a:xfrm>
                            <a:off x="0" y="0"/>
                            <a:ext cx="777240" cy="23495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 xml:space="preserve"> 12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noWrap w:val="0"/>
            <w:vAlign w:val="top"/>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single" w:color="auto" w:sz="4" w:space="1"/>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F92FCD45"/>
    <w:multiLevelType w:val="singleLevel"/>
    <w:tmpl w:val="F92FCD45"/>
    <w:lvl w:ilvl="0" w:tentative="0">
      <w:start w:val="1"/>
      <w:numFmt w:val="bullet"/>
      <w:pStyle w:val="5"/>
      <w:lvlText w:val=""/>
      <w:lvlJc w:val="left"/>
      <w:pPr>
        <w:tabs>
          <w:tab w:val="left" w:pos="2040"/>
        </w:tabs>
        <w:ind w:left="2040" w:hanging="360"/>
      </w:pPr>
      <w:rPr>
        <w:rFonts w:hint="default" w:ascii="Wingdings" w:hAnsi="Wingdings"/>
      </w:rPr>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6B56E42"/>
    <w:rsid w:val="1A8B2727"/>
    <w:rsid w:val="66F46108"/>
    <w:rsid w:val="6E71543D"/>
    <w:rsid w:val="7C0621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next w:val="5"/>
    <w:qFormat/>
    <w:uiPriority w:val="0"/>
  </w:style>
  <w:style w:type="paragraph" w:styleId="5">
    <w:name w:val="List Bullet 5"/>
    <w:basedOn w:val="1"/>
    <w:semiHidden/>
    <w:unhideWhenUsed/>
    <w:uiPriority w:val="99"/>
    <w:pPr>
      <w:numPr>
        <w:ilvl w:val="0"/>
        <w:numId w:val="2"/>
      </w:numPr>
    </w:pPr>
  </w:style>
  <w:style w:type="paragraph" w:styleId="6">
    <w:name w:val="Body Text Indent"/>
    <w:basedOn w:val="1"/>
    <w:qFormat/>
    <w:uiPriority w:val="0"/>
    <w:pPr>
      <w:tabs>
        <w:tab w:val="left" w:pos="1560"/>
        <w:tab w:val="left" w:pos="1985"/>
      </w:tabs>
      <w:ind w:left="1560" w:hanging="1560"/>
      <w:jc w:val="left"/>
    </w:pPr>
    <w:rPr>
      <w:lang w:eastAsia="ja-JP"/>
    </w:rPr>
  </w:style>
  <w:style w:type="paragraph" w:styleId="7">
    <w:name w:val="Balloon Text"/>
    <w:basedOn w:val="1"/>
    <w:link w:val="15"/>
    <w:semiHidden/>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Subtitle"/>
    <w:basedOn w:val="1"/>
    <w:next w:val="1"/>
    <w:link w:val="18"/>
    <w:qFormat/>
    <w:uiPriority w:val="99"/>
    <w:pPr>
      <w:spacing w:before="240" w:after="60" w:line="312" w:lineRule="auto"/>
      <w:jc w:val="center"/>
      <w:outlineLvl w:val="1"/>
    </w:pPr>
    <w:rPr>
      <w:rFonts w:ascii="Cambria" w:hAnsi="Cambria"/>
      <w:b/>
      <w:bCs/>
      <w:kern w:val="28"/>
      <w:sz w:val="32"/>
      <w:szCs w:val="32"/>
    </w:rPr>
  </w:style>
  <w:style w:type="paragraph" w:styleId="11">
    <w:name w:val="Body Text First Indent 2"/>
    <w:basedOn w:val="6"/>
    <w:qFormat/>
    <w:uiPriority w:val="0"/>
    <w:pPr>
      <w:spacing w:after="120" w:afterLines="0"/>
      <w:ind w:left="420" w:leftChars="200" w:firstLine="420" w:firstLineChars="200"/>
    </w:pPr>
    <w:rPr>
      <w:rFonts w:ascii="Times New Roman" w:hAnsi="Times New Roman"/>
      <w:szCs w:val="24"/>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link w:val="7"/>
    <w:semiHidden/>
    <w:qFormat/>
    <w:locked/>
    <w:uiPriority w:val="99"/>
    <w:rPr>
      <w:rFonts w:ascii="Times New Roman" w:hAnsi="Times New Roman" w:eastAsia="宋体" w:cs="Times New Roman"/>
      <w:sz w:val="18"/>
      <w:szCs w:val="18"/>
    </w:rPr>
  </w:style>
  <w:style w:type="character" w:customStyle="1" w:styleId="16">
    <w:name w:val="页脚 Char"/>
    <w:link w:val="8"/>
    <w:qFormat/>
    <w:locked/>
    <w:uiPriority w:val="99"/>
    <w:rPr>
      <w:rFonts w:ascii="Times New Roman" w:hAnsi="Times New Roman" w:eastAsia="宋体" w:cs="Times New Roman"/>
      <w:sz w:val="18"/>
      <w:szCs w:val="18"/>
    </w:rPr>
  </w:style>
  <w:style w:type="character" w:customStyle="1" w:styleId="17">
    <w:name w:val="页眉 Char"/>
    <w:link w:val="9"/>
    <w:qFormat/>
    <w:locked/>
    <w:uiPriority w:val="99"/>
    <w:rPr>
      <w:rFonts w:ascii="Calibri" w:hAnsi="Calibri" w:eastAsia="宋体" w:cs="Times New Roman"/>
      <w:sz w:val="18"/>
      <w:szCs w:val="18"/>
    </w:rPr>
  </w:style>
  <w:style w:type="character" w:customStyle="1" w:styleId="18">
    <w:name w:val="副标题 Char"/>
    <w:link w:val="10"/>
    <w:qFormat/>
    <w:locked/>
    <w:uiPriority w:val="99"/>
    <w:rPr>
      <w:rFonts w:ascii="Cambria" w:hAnsi="Cambria" w:eastAsia="宋体" w:cs="Times New Roman"/>
      <w:b/>
      <w:bCs/>
      <w:kern w:val="28"/>
      <w:sz w:val="32"/>
      <w:szCs w:val="32"/>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11pt AS0"/>
    <w:basedOn w:val="1"/>
    <w:qFormat/>
    <w:uiPriority w:val="0"/>
    <w:pPr>
      <w:spacing w:before="60"/>
    </w:pPr>
    <w:rPr>
      <w:sz w:val="22"/>
    </w:rPr>
  </w:style>
  <w:style w:type="paragraph" w:customStyle="1" w:styleId="21">
    <w:name w:val="Body 10pt De Left AS0"/>
    <w:basedOn w:val="1"/>
    <w:qFormat/>
    <w:uiPriority w:val="0"/>
  </w:style>
  <w:style w:type="paragraph" w:customStyle="1" w:styleId="22">
    <w:name w:val="Header 10pt De PS0"/>
    <w:basedOn w:val="1"/>
    <w:qFormat/>
    <w:uiPriority w:val="0"/>
    <w:pPr>
      <w:spacing w:before="40" w:after="40"/>
    </w:pPr>
    <w:rPr>
      <w:rFonts w:eastAsia="Times New Roman"/>
      <w:b/>
      <w:sz w:val="20"/>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Body 6pt"/>
    <w:basedOn w:val="1"/>
    <w:qFormat/>
    <w:uiPriority w:val="0"/>
    <w:pPr>
      <w:spacing w:before="40" w:after="40"/>
    </w:pPr>
    <w:rPr>
      <w:rFonts w:eastAsia="Times New Roman"/>
      <w:sz w:val="12"/>
      <w:szCs w:val="20"/>
      <w:lang w:val="de-DE" w:eastAsia="de-DE"/>
    </w:rPr>
  </w:style>
  <w:style w:type="paragraph" w:customStyle="1" w:styleId="25">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6">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2022-08-17T00:42:16Z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