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pacing w:line="480" w:lineRule="exact"/>
        <w:jc w:val="center"/>
        <w:rPr>
          <w:rFonts w:ascii="隶书" w:hAnsi="宋体" w:eastAsia="隶书"/>
          <w:bCs/>
          <w:color w:val="000000" w:themeColor="text1"/>
          <w:sz w:val="36"/>
          <w:szCs w:val="36"/>
        </w:rPr>
      </w:pPr>
      <w:r>
        <w:rPr>
          <w:rFonts w:hint="eastAsia" w:ascii="隶书" w:hAnsi="宋体" w:eastAsia="隶书"/>
          <w:bCs/>
          <w:color w:val="000000" w:themeColor="text1"/>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76"/>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160" w:type="dxa"/>
            <w:vMerge w:val="restart"/>
            <w:vAlign w:val="center"/>
          </w:tcPr>
          <w:p>
            <w:pPr>
              <w:ind w:firstLine="420" w:firstLineChars="200"/>
              <w:rPr>
                <w:rFonts w:hint="eastAsia" w:ascii="Times New Roman" w:hAnsi="Times New Roman" w:cs="Times New Roman"/>
                <w:color w:val="000000" w:themeColor="text1"/>
                <w:szCs w:val="22"/>
                <w:lang w:val="en-US" w:eastAsia="zh-CN"/>
              </w:rPr>
            </w:pPr>
            <w:r>
              <w:rPr>
                <w:rFonts w:hint="eastAsia" w:ascii="Times New Roman" w:hAnsi="Times New Roman" w:cs="Times New Roman"/>
                <w:color w:val="000000" w:themeColor="text1"/>
                <w:szCs w:val="22"/>
                <w:lang w:val="en-US" w:eastAsia="zh-CN"/>
              </w:rPr>
              <w:t>过程与活动、</w:t>
            </w:r>
          </w:p>
          <w:p>
            <w:pPr>
              <w:ind w:firstLine="420" w:firstLineChars="200"/>
              <w:rPr>
                <w:rFonts w:hint="eastAsia" w:ascii="Times New Roman" w:hAnsi="Times New Roman" w:cs="Times New Roman"/>
                <w:color w:val="000000" w:themeColor="text1"/>
                <w:szCs w:val="22"/>
                <w:lang w:val="en-US" w:eastAsia="zh-CN"/>
              </w:rPr>
            </w:pPr>
            <w:r>
              <w:rPr>
                <w:rFonts w:hint="eastAsia" w:ascii="Times New Roman" w:hAnsi="Times New Roman" w:cs="Times New Roman"/>
                <w:color w:val="000000" w:themeColor="text1"/>
                <w:szCs w:val="22"/>
                <w:lang w:val="en-US" w:eastAsia="zh-CN"/>
              </w:rPr>
              <w:t>抽样计划</w:t>
            </w:r>
          </w:p>
        </w:tc>
        <w:tc>
          <w:tcPr>
            <w:tcW w:w="960" w:type="dxa"/>
            <w:vMerge w:val="restart"/>
            <w:vAlign w:val="center"/>
          </w:tcPr>
          <w:p>
            <w:pPr>
              <w:jc w:val="center"/>
              <w:rPr>
                <w:rFonts w:hint="eastAsia" w:ascii="Times New Roman" w:hAnsi="Times New Roman" w:cs="Times New Roman"/>
                <w:color w:val="000000" w:themeColor="text1"/>
                <w:szCs w:val="22"/>
                <w:lang w:val="en-US" w:eastAsia="zh-CN"/>
              </w:rPr>
            </w:pPr>
            <w:r>
              <w:rPr>
                <w:rFonts w:hint="eastAsia" w:ascii="Times New Roman" w:hAnsi="Times New Roman" w:cs="Times New Roman"/>
                <w:color w:val="000000" w:themeColor="text1"/>
                <w:szCs w:val="22"/>
                <w:lang w:val="en-US" w:eastAsia="zh-CN"/>
              </w:rPr>
              <w:t>涉及</w:t>
            </w:r>
          </w:p>
          <w:p>
            <w:pPr>
              <w:jc w:val="center"/>
              <w:rPr>
                <w:rFonts w:hint="eastAsia" w:ascii="Times New Roman" w:hAnsi="Times New Roman" w:cs="Times New Roman"/>
                <w:color w:val="000000" w:themeColor="text1"/>
                <w:szCs w:val="22"/>
                <w:lang w:val="en-US" w:eastAsia="zh-CN"/>
              </w:rPr>
            </w:pPr>
            <w:r>
              <w:rPr>
                <w:rFonts w:hint="eastAsia" w:ascii="Times New Roman" w:hAnsi="Times New Roman" w:cs="Times New Roman"/>
                <w:color w:val="000000" w:themeColor="text1"/>
                <w:szCs w:val="22"/>
                <w:lang w:val="en-US" w:eastAsia="zh-CN"/>
              </w:rPr>
              <w:t>条款</w:t>
            </w:r>
          </w:p>
        </w:tc>
        <w:tc>
          <w:tcPr>
            <w:tcW w:w="10376" w:type="dxa"/>
            <w:vAlign w:val="center"/>
          </w:tcPr>
          <w:p>
            <w:pP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 xml:space="preserve">受审核部门：管理层    </w:t>
            </w:r>
            <w:r>
              <w:rPr>
                <w:rFonts w:hint="eastAsia"/>
                <w:color w:val="000000" w:themeColor="text1"/>
                <w:szCs w:val="21"/>
              </w:rPr>
              <w:t>总经理：</w:t>
            </w:r>
            <w:r>
              <w:rPr>
                <w:rFonts w:hint="eastAsia"/>
                <w:color w:val="000000" w:themeColor="text1"/>
                <w:szCs w:val="21"/>
                <w:lang w:eastAsia="zh-CN"/>
              </w:rPr>
              <w:t>SHEN CHANG（</w:t>
            </w:r>
            <w:r>
              <w:rPr>
                <w:rFonts w:hint="eastAsia"/>
                <w:color w:val="000000" w:themeColor="text1"/>
                <w:szCs w:val="21"/>
                <w:lang w:val="en-US" w:eastAsia="zh-CN"/>
              </w:rPr>
              <w:t>美籍华人</w:t>
            </w:r>
            <w:r>
              <w:rPr>
                <w:rFonts w:hint="eastAsia"/>
                <w:color w:val="000000" w:themeColor="text1"/>
                <w:szCs w:val="21"/>
                <w:lang w:eastAsia="zh-CN"/>
              </w:rPr>
              <w:t>）</w:t>
            </w:r>
            <w:r>
              <w:rPr>
                <w:rFonts w:hint="eastAsia"/>
                <w:color w:val="000000" w:themeColor="text1"/>
                <w:szCs w:val="21"/>
              </w:rPr>
              <w:t xml:space="preserve">   陪同人员： </w:t>
            </w:r>
            <w:r>
              <w:rPr>
                <w:rFonts w:hint="eastAsia"/>
                <w:color w:val="000000" w:themeColor="text1"/>
                <w:szCs w:val="21"/>
                <w:lang w:val="en-US" w:eastAsia="zh-CN"/>
              </w:rPr>
              <w:t>陈明</w:t>
            </w:r>
          </w:p>
        </w:tc>
        <w:tc>
          <w:tcPr>
            <w:tcW w:w="1213" w:type="dxa"/>
            <w:vMerge w:val="restart"/>
            <w:vAlign w:val="center"/>
          </w:tcPr>
          <w:p>
            <w:pPr>
              <w:tabs>
                <w:tab w:val="center" w:pos="498"/>
              </w:tabs>
              <w:jc w:val="center"/>
              <w:rPr>
                <w:rFonts w:hint="eastAsia" w:ascii="Times New Roman" w:hAnsi="Times New Roman" w:cs="Times New Roman"/>
                <w:color w:val="000000" w:themeColor="text1"/>
                <w:szCs w:val="22"/>
                <w:lang w:val="en-US" w:eastAsia="zh-CN"/>
              </w:rPr>
            </w:pPr>
            <w:r>
              <w:rPr>
                <w:rFonts w:hint="eastAsia" w:ascii="Times New Roman" w:hAnsi="Times New Roman" w:cs="Times New Roman"/>
                <w:color w:val="000000" w:themeColor="text1"/>
                <w:szCs w:val="22"/>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376" w:type="dxa"/>
            <w:vAlign w:val="center"/>
          </w:tcPr>
          <w:p>
            <w:pP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审核员：王宁敏       审核时间：2022-0</w:t>
            </w:r>
            <w:r>
              <w:rPr>
                <w:rFonts w:hint="eastAsia" w:cs="Times New Roman"/>
                <w:color w:val="000000" w:themeColor="text1"/>
                <w:sz w:val="21"/>
                <w:szCs w:val="21"/>
                <w:lang w:val="en-US" w:eastAsia="zh-CN"/>
              </w:rPr>
              <w:t>8</w:t>
            </w:r>
            <w:r>
              <w:rPr>
                <w:rFonts w:hint="eastAsia" w:ascii="Times New Roman" w:hAnsi="Times New Roman" w:eastAsia="宋体" w:cs="Times New Roman"/>
                <w:color w:val="000000" w:themeColor="text1"/>
                <w:sz w:val="21"/>
                <w:szCs w:val="21"/>
                <w:lang w:val="en-US" w:eastAsia="zh-CN"/>
              </w:rPr>
              <w:t>-</w:t>
            </w:r>
            <w:r>
              <w:rPr>
                <w:rFonts w:hint="eastAsia" w:cs="Times New Roman"/>
                <w:color w:val="000000" w:themeColor="text1"/>
                <w:sz w:val="21"/>
                <w:szCs w:val="21"/>
                <w:lang w:val="en-US" w:eastAsia="zh-CN"/>
              </w:rPr>
              <w:t>14</w:t>
            </w:r>
            <w:r>
              <w:rPr>
                <w:rFonts w:hint="eastAsia" w:ascii="Times New Roman" w:hAnsi="Times New Roman" w:eastAsia="宋体" w:cs="Times New Roman"/>
                <w:color w:val="000000" w:themeColor="text1"/>
                <w:sz w:val="21"/>
                <w:szCs w:val="21"/>
                <w:lang w:val="en-US" w:eastAsia="zh-CN"/>
              </w:rPr>
              <w:t xml:space="preserve">  </w:t>
            </w:r>
            <w:r>
              <w:rPr>
                <w:rFonts w:hint="eastAsia" w:cs="Times New Roman"/>
                <w:color w:val="000000" w:themeColor="text1"/>
                <w:sz w:val="21"/>
                <w:szCs w:val="21"/>
                <w:lang w:val="en-US" w:eastAsia="zh-CN"/>
              </w:rPr>
              <w:t>8</w:t>
            </w:r>
            <w:r>
              <w:rPr>
                <w:rFonts w:hint="eastAsia" w:ascii="Times New Roman" w:hAnsi="Times New Roman" w:eastAsia="宋体" w:cs="Times New Roman"/>
                <w:color w:val="000000" w:themeColor="text1"/>
                <w:sz w:val="21"/>
                <w:szCs w:val="21"/>
                <w:lang w:val="en-US" w:eastAsia="zh-CN"/>
              </w:rPr>
              <w:t>:</w:t>
            </w:r>
            <w:r>
              <w:rPr>
                <w:rFonts w:hint="eastAsia" w:cs="Times New Roman"/>
                <w:color w:val="000000" w:themeColor="text1"/>
                <w:sz w:val="21"/>
                <w:szCs w:val="21"/>
                <w:lang w:val="en-US" w:eastAsia="zh-CN"/>
              </w:rPr>
              <w:t>3</w:t>
            </w:r>
            <w:r>
              <w:rPr>
                <w:rFonts w:hint="eastAsia" w:ascii="Times New Roman" w:hAnsi="Times New Roman" w:eastAsia="宋体" w:cs="Times New Roman"/>
                <w:color w:val="000000" w:themeColor="text1"/>
                <w:sz w:val="21"/>
                <w:szCs w:val="21"/>
                <w:lang w:val="en-US" w:eastAsia="zh-CN"/>
              </w:rPr>
              <w:t>0-12:00</w:t>
            </w:r>
            <w:r>
              <w:rPr>
                <w:rFonts w:hint="eastAsia" w:cs="Times New Roman"/>
                <w:color w:val="000000" w:themeColor="text1"/>
                <w:sz w:val="21"/>
                <w:szCs w:val="21"/>
                <w:lang w:val="en-US" w:eastAsia="zh-CN"/>
              </w:rPr>
              <w:t>。</w:t>
            </w:r>
          </w:p>
        </w:tc>
        <w:tc>
          <w:tcPr>
            <w:tcW w:w="1213"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376" w:type="dxa"/>
            <w:vAlign w:val="center"/>
          </w:tcPr>
          <w:p>
            <w:pPr>
              <w:tabs>
                <w:tab w:val="left" w:pos="709"/>
              </w:tabs>
              <w:ind w:right="57"/>
              <w:jc w:val="left"/>
              <w:rPr>
                <w:rFonts w:hint="default" w:ascii="Times New Roman" w:hAnsi="Times New Roman" w:cs="Times New Roman"/>
                <w:color w:val="000000" w:themeColor="text1"/>
                <w:szCs w:val="22"/>
                <w:lang w:val="en-US" w:eastAsia="zh-CN"/>
              </w:rPr>
            </w:pPr>
            <w:r>
              <w:rPr>
                <w:rFonts w:hint="eastAsia" w:ascii="Times New Roman" w:hAnsi="Times New Roman" w:cs="Times New Roman"/>
                <w:color w:val="000000" w:themeColor="text1"/>
                <w:szCs w:val="22"/>
                <w:lang w:val="en-US" w:eastAsia="zh-CN"/>
              </w:rPr>
              <w:t>审核条款： 4.1 理解组织及其所处的环境、4.2理解相关方的需求和期望、4.3 确定能源管理体系的范围、4.4 能源管理体系、5.1 领导作用和承诺、5.2 能源方针、5.3 组织的岗位、职责和权限、6.1 应对风险和机遇的措施、</w:t>
            </w:r>
            <w:r>
              <w:rPr>
                <w:rFonts w:hint="eastAsia" w:cs="Times New Roman"/>
                <w:color w:val="000000" w:themeColor="text1"/>
                <w:szCs w:val="22"/>
                <w:lang w:val="en-US" w:eastAsia="zh-CN"/>
              </w:rPr>
              <w:t>6.2目标指标、</w:t>
            </w:r>
            <w:r>
              <w:rPr>
                <w:rFonts w:hint="eastAsia" w:ascii="Times New Roman" w:hAnsi="Times New Roman" w:cs="Times New Roman"/>
                <w:color w:val="000000" w:themeColor="text1"/>
                <w:szCs w:val="22"/>
                <w:lang w:val="en-US" w:eastAsia="zh-CN"/>
              </w:rPr>
              <w:t>7.1 资源</w:t>
            </w:r>
            <w:r>
              <w:rPr>
                <w:rFonts w:hint="eastAsia"/>
                <w:color w:val="000000" w:themeColor="text1"/>
                <w:sz w:val="21"/>
                <w:szCs w:val="21"/>
                <w:lang w:eastAsia="zh-CN"/>
              </w:rPr>
              <w:t>、</w:t>
            </w:r>
            <w:r>
              <w:rPr>
                <w:rFonts w:hint="eastAsia" w:ascii="Times New Roman" w:hAnsi="Times New Roman" w:cs="Times New Roman"/>
                <w:color w:val="000000" w:themeColor="text1"/>
                <w:szCs w:val="22"/>
                <w:lang w:val="en-US" w:eastAsia="zh-CN"/>
              </w:rPr>
              <w:t>9.3 管理评审</w:t>
            </w:r>
            <w:r>
              <w:rPr>
                <w:rFonts w:hint="eastAsia" w:cs="Times New Roman"/>
                <w:color w:val="000000" w:themeColor="text1"/>
                <w:szCs w:val="22"/>
                <w:lang w:val="en-US" w:eastAsia="zh-CN"/>
              </w:rPr>
              <w:t>、</w:t>
            </w:r>
            <w:r>
              <w:rPr>
                <w:rFonts w:hint="eastAsia" w:ascii="Times New Roman" w:hAnsi="Times New Roman" w:cs="Times New Roman"/>
                <w:color w:val="000000" w:themeColor="text1"/>
                <w:szCs w:val="22"/>
                <w:lang w:val="en-US" w:eastAsia="zh-CN"/>
              </w:rPr>
              <w:t>10.2 持续改进。</w:t>
            </w:r>
            <w:r>
              <w:rPr>
                <w:rFonts w:hint="eastAsia" w:eastAsia="宋体"/>
                <w:color w:val="000000" w:themeColor="text1"/>
                <w:sz w:val="21"/>
                <w:szCs w:val="21"/>
                <w:lang w:val="en-US" w:eastAsia="zh-CN"/>
              </w:rPr>
              <w:t>EnMS：4.1/ 4.2 /4.3 /4.4 /5.1 /5.2 /5.3/ 6.1/ 6.2/7.1/9.3 /10.2</w:t>
            </w:r>
            <w:r>
              <w:rPr>
                <w:rFonts w:hint="eastAsia"/>
                <w:color w:val="000000" w:themeColor="text1"/>
                <w:sz w:val="21"/>
                <w:szCs w:val="21"/>
                <w:lang w:val="en-US" w:eastAsia="zh-CN"/>
              </w:rPr>
              <w:t>。</w:t>
            </w:r>
          </w:p>
        </w:tc>
        <w:tc>
          <w:tcPr>
            <w:tcW w:w="1213"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color w:val="000000" w:themeColor="text1"/>
              </w:rPr>
            </w:pPr>
            <w:r>
              <w:rPr>
                <w:rFonts w:hint="eastAsia" w:ascii="Times New Roman" w:hAnsi="Times New Roman" w:cs="Times New Roman"/>
                <w:color w:val="000000" w:themeColor="text1"/>
                <w:szCs w:val="22"/>
                <w:lang w:val="en-US" w:eastAsia="zh-CN"/>
              </w:rPr>
              <w:t>了解公司基本情况</w:t>
            </w:r>
          </w:p>
        </w:tc>
        <w:tc>
          <w:tcPr>
            <w:tcW w:w="960" w:type="dxa"/>
          </w:tcPr>
          <w:p>
            <w:pPr>
              <w:rPr>
                <w:color w:val="000000" w:themeColor="text1"/>
              </w:rPr>
            </w:pPr>
          </w:p>
        </w:tc>
        <w:tc>
          <w:tcPr>
            <w:tcW w:w="10376" w:type="dxa"/>
          </w:tcPr>
          <w:p>
            <w:pPr>
              <w:ind w:firstLine="420" w:firstLineChars="200"/>
              <w:rPr>
                <w:rFonts w:hint="eastAsia"/>
                <w:color w:val="000000" w:themeColor="text1"/>
                <w:lang w:val="en-US" w:eastAsia="zh-CN"/>
              </w:rPr>
            </w:pPr>
            <w:r>
              <w:rPr>
                <w:rFonts w:hint="eastAsia"/>
                <w:color w:val="000000" w:themeColor="text1"/>
                <w:lang w:val="en-US" w:eastAsia="zh-CN"/>
              </w:rPr>
              <w:t>成都声立德克技术有限公司是超声波流量测量领域全球领先的高科技技术企业，总公司—USA SPIRE METERING TECHNOLOGY CO.,LTD . （美国SpireMT公司），作为全球流体计量行业的领导者，专业从事超声流体测量领域技术30余年，可为中国能源企事业单位提供先进、完整的本土化解决方案，持续为中国用户多样化的市场需求提供完善服务。业务遍布40多个国家和地区，专注于流体检测，能耗管理和物联网领域，是全球最大的智能计量产品供应商之一。</w:t>
            </w:r>
          </w:p>
          <w:p>
            <w:pPr>
              <w:ind w:firstLine="420" w:firstLineChars="200"/>
              <w:rPr>
                <w:rFonts w:hint="eastAsia"/>
                <w:color w:val="000000" w:themeColor="text1"/>
                <w:lang w:val="en-US" w:eastAsia="zh-CN"/>
              </w:rPr>
            </w:pPr>
            <w:r>
              <w:rPr>
                <w:rFonts w:hint="eastAsia"/>
                <w:color w:val="000000" w:themeColor="text1"/>
                <w:lang w:val="en-US" w:eastAsia="zh-CN"/>
              </w:rPr>
              <w:t>公司占地面积5100平米，注册资本310.000000万美元，固定资产净值：426.7万元。</w:t>
            </w:r>
          </w:p>
          <w:p>
            <w:pPr>
              <w:ind w:firstLine="420" w:firstLineChars="200"/>
              <w:rPr>
                <w:rFonts w:hint="eastAsia"/>
                <w:color w:val="000000" w:themeColor="text1"/>
                <w:sz w:val="21"/>
                <w:szCs w:val="21"/>
                <w:lang w:val="en-US" w:eastAsia="zh-CN"/>
              </w:rPr>
            </w:pPr>
            <w:r>
              <w:rPr>
                <w:rFonts w:hint="eastAsia"/>
                <w:color w:val="000000" w:themeColor="text1"/>
                <w:szCs w:val="21"/>
              </w:rPr>
              <w:t>总经理：</w:t>
            </w:r>
            <w:r>
              <w:rPr>
                <w:rFonts w:hint="eastAsia"/>
                <w:color w:val="000000" w:themeColor="text1"/>
                <w:szCs w:val="21"/>
                <w:lang w:eastAsia="zh-CN"/>
              </w:rPr>
              <w:t>SHEN CHANG（美籍华人）</w:t>
            </w:r>
            <w:r>
              <w:rPr>
                <w:rFonts w:hint="eastAsia"/>
                <w:color w:val="000000" w:themeColor="text1"/>
                <w:sz w:val="21"/>
                <w:szCs w:val="21"/>
                <w:lang w:val="en-US" w:eastAsia="zh-CN"/>
              </w:rPr>
              <w:t xml:space="preserve"> </w:t>
            </w:r>
          </w:p>
          <w:p>
            <w:pPr>
              <w:ind w:firstLine="400" w:firstLineChars="200"/>
              <w:rPr>
                <w:rFonts w:hint="eastAsia"/>
                <w:color w:val="000000" w:themeColor="text1"/>
                <w:lang w:val="en-US" w:eastAsia="zh-CN"/>
              </w:rPr>
            </w:pPr>
            <w:r>
              <w:rPr>
                <w:rFonts w:hint="eastAsia"/>
                <w:color w:val="000000" w:themeColor="text1"/>
                <w:sz w:val="20"/>
              </w:rPr>
              <w:t>公司</w:t>
            </w:r>
            <w:r>
              <w:rPr>
                <w:rFonts w:hint="eastAsia"/>
                <w:color w:val="000000" w:themeColor="text1"/>
                <w:szCs w:val="21"/>
              </w:rPr>
              <w:t>总人数</w:t>
            </w:r>
            <w:r>
              <w:rPr>
                <w:rFonts w:hint="eastAsia"/>
                <w:color w:val="000000" w:themeColor="text1"/>
                <w:szCs w:val="21"/>
                <w:lang w:val="en-US" w:eastAsia="zh-CN"/>
              </w:rPr>
              <w:t>46</w:t>
            </w:r>
            <w:r>
              <w:rPr>
                <w:rFonts w:hint="eastAsia"/>
                <w:color w:val="000000" w:themeColor="text1"/>
                <w:szCs w:val="21"/>
              </w:rPr>
              <w:t>人，其中体系覆盖人数</w:t>
            </w:r>
            <w:r>
              <w:rPr>
                <w:rFonts w:hint="eastAsia"/>
                <w:color w:val="000000" w:themeColor="text1"/>
                <w:szCs w:val="21"/>
                <w:lang w:val="en-US" w:eastAsia="zh-CN"/>
              </w:rPr>
              <w:t>46</w:t>
            </w:r>
            <w:r>
              <w:rPr>
                <w:rFonts w:hint="eastAsia"/>
                <w:color w:val="000000" w:themeColor="text1"/>
                <w:szCs w:val="21"/>
              </w:rPr>
              <w:t>人</w:t>
            </w:r>
            <w:r>
              <w:rPr>
                <w:rFonts w:hint="eastAsia"/>
                <w:color w:val="000000" w:themeColor="text1"/>
                <w:szCs w:val="22"/>
              </w:rPr>
              <w:t>。管理人员</w:t>
            </w:r>
            <w:r>
              <w:rPr>
                <w:rFonts w:hint="eastAsia"/>
                <w:color w:val="000000" w:themeColor="text1"/>
                <w:szCs w:val="22"/>
                <w:lang w:val="en-US" w:eastAsia="zh-CN"/>
              </w:rPr>
              <w:t>9</w:t>
            </w:r>
            <w:r>
              <w:rPr>
                <w:rFonts w:hint="eastAsia"/>
                <w:color w:val="000000" w:themeColor="text1"/>
                <w:szCs w:val="22"/>
              </w:rPr>
              <w:t>，作业人员</w:t>
            </w:r>
            <w:r>
              <w:rPr>
                <w:rFonts w:hint="eastAsia"/>
                <w:color w:val="000000" w:themeColor="text1"/>
                <w:szCs w:val="22"/>
                <w:lang w:val="en-US" w:eastAsia="zh-CN"/>
              </w:rPr>
              <w:t>37</w:t>
            </w:r>
            <w:r>
              <w:rPr>
                <w:rFonts w:hint="eastAsia"/>
                <w:color w:val="000000" w:themeColor="text1"/>
                <w:szCs w:val="22"/>
              </w:rPr>
              <w:t>。</w:t>
            </w:r>
          </w:p>
          <w:p>
            <w:pPr>
              <w:ind w:firstLine="420" w:firstLineChars="200"/>
              <w:rPr>
                <w:rFonts w:hint="eastAsia" w:eastAsiaTheme="minorEastAsia"/>
                <w:color w:val="000000" w:themeColor="text1"/>
                <w:lang w:val="en-US" w:eastAsia="zh-CN"/>
              </w:rPr>
            </w:pPr>
            <w:r>
              <w:rPr>
                <w:rFonts w:hint="eastAsia"/>
                <w:color w:val="000000" w:themeColor="text1"/>
                <w:lang w:val="en-US" w:eastAsia="zh-CN"/>
              </w:rPr>
              <w:t>营业执照注册地址：</w:t>
            </w:r>
            <w:r>
              <w:rPr>
                <w:rFonts w:hint="eastAsia" w:asciiTheme="minorEastAsia" w:hAnsiTheme="minorEastAsia" w:eastAsiaTheme="minorEastAsia"/>
                <w:color w:val="000000" w:themeColor="text1"/>
                <w:sz w:val="20"/>
              </w:rPr>
              <w:t>四川省成都高新区高朋东路8号</w:t>
            </w:r>
            <w:r>
              <w:rPr>
                <w:rFonts w:hint="eastAsia" w:asciiTheme="minorEastAsia" w:hAnsiTheme="minorEastAsia" w:eastAsiaTheme="minorEastAsia"/>
                <w:color w:val="000000" w:themeColor="text1"/>
                <w:sz w:val="20"/>
                <w:lang w:eastAsia="zh-CN"/>
              </w:rPr>
              <w:t>。</w:t>
            </w:r>
          </w:p>
          <w:p>
            <w:pPr>
              <w:ind w:firstLine="420" w:firstLineChars="200"/>
              <w:rPr>
                <w:rFonts w:hint="eastAsia"/>
                <w:color w:val="000000" w:themeColor="text1"/>
                <w:lang w:val="en-US" w:eastAsia="zh-CN"/>
              </w:rPr>
            </w:pPr>
            <w:r>
              <w:rPr>
                <w:rFonts w:hint="eastAsia"/>
                <w:color w:val="000000" w:themeColor="text1"/>
                <w:lang w:val="en-US" w:eastAsia="zh-CN"/>
              </w:rPr>
              <w:t>经营地址：</w:t>
            </w:r>
            <w:r>
              <w:rPr>
                <w:color w:val="000000" w:themeColor="text1"/>
                <w:sz w:val="21"/>
                <w:szCs w:val="21"/>
              </w:rPr>
              <w:t>成都浩朗科技园2区第301,501号</w:t>
            </w:r>
            <w:r>
              <w:rPr>
                <w:rFonts w:hint="eastAsia"/>
                <w:color w:val="000000" w:themeColor="text1"/>
                <w:lang w:val="en-US" w:eastAsia="zh-CN"/>
              </w:rPr>
              <w:t>，与注册地址不一致，与生产或服务现场一致。</w:t>
            </w:r>
          </w:p>
          <w:p>
            <w:pPr>
              <w:ind w:firstLine="420" w:firstLineChars="200"/>
              <w:rPr>
                <w:rFonts w:hint="eastAsia"/>
                <w:color w:val="000000" w:themeColor="text1"/>
                <w:lang w:val="en-US" w:eastAsia="zh-CN"/>
              </w:rPr>
            </w:pPr>
            <w:r>
              <w:rPr>
                <w:rFonts w:hint="eastAsia"/>
                <w:color w:val="000000" w:themeColor="text1"/>
                <w:lang w:val="en-US" w:eastAsia="zh-CN"/>
              </w:rPr>
              <w:t>能源管理体系覆盖的人数总计 37人，远程审核予以确认。</w:t>
            </w:r>
          </w:p>
        </w:tc>
        <w:tc>
          <w:tcPr>
            <w:tcW w:w="1213" w:type="dxa"/>
          </w:tcPr>
          <w:p>
            <w:pPr>
              <w:rPr>
                <w:rFonts w:hint="eastAsia" w:eastAsia="宋体"/>
                <w:color w:val="000000" w:themeColor="text1"/>
                <w:lang w:val="en-US" w:eastAsia="zh-CN"/>
              </w:rPr>
            </w:pPr>
            <w:r>
              <w:rPr>
                <w:rFonts w:hint="eastAsia"/>
                <w:color w:val="000000" w:themeColor="text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160" w:type="dxa"/>
          </w:tcPr>
          <w:p>
            <w:pPr>
              <w:rPr>
                <w:rFonts w:hint="eastAsia" w:ascii="宋体" w:hAnsi="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理解组织及其所处的环境</w:t>
            </w:r>
            <w:r>
              <w:rPr>
                <w:rFonts w:hint="eastAsia" w:ascii="宋体" w:hAnsi="宋体" w:cs="Times New Roman"/>
                <w:color w:val="000000" w:themeColor="text1"/>
                <w:sz w:val="21"/>
                <w:szCs w:val="21"/>
                <w:lang w:val="en-US" w:eastAsia="zh-CN"/>
              </w:rPr>
              <w:t>，</w:t>
            </w:r>
          </w:p>
          <w:p>
            <w:pPr>
              <w:rPr>
                <w:rFonts w:hint="default"/>
                <w:color w:val="000000" w:themeColor="text1"/>
                <w:lang w:val="en-US"/>
              </w:rPr>
            </w:pPr>
            <w:r>
              <w:rPr>
                <w:rFonts w:hint="eastAsia" w:ascii="宋体" w:hAnsi="宋体" w:eastAsia="宋体" w:cs="Times New Roman"/>
                <w:color w:val="000000" w:themeColor="text1"/>
                <w:sz w:val="21"/>
                <w:szCs w:val="21"/>
                <w:lang w:val="en-US" w:eastAsia="zh-CN"/>
              </w:rPr>
              <w:t>理解相关方的需求和期望</w:t>
            </w:r>
          </w:p>
        </w:tc>
        <w:tc>
          <w:tcPr>
            <w:tcW w:w="960" w:type="dxa"/>
          </w:tcPr>
          <w:p>
            <w:pPr>
              <w:rPr>
                <w:rFonts w:hint="default"/>
                <w:color w:val="000000" w:themeColor="text1"/>
                <w:lang w:val="en-US"/>
              </w:rPr>
            </w:pPr>
            <w:r>
              <w:rPr>
                <w:rFonts w:hint="eastAsia" w:ascii="宋体" w:hAnsi="宋体" w:cs="Times New Roman"/>
                <w:color w:val="000000" w:themeColor="text1"/>
                <w:sz w:val="21"/>
                <w:szCs w:val="21"/>
                <w:lang w:val="en-US" w:eastAsia="zh-CN"/>
              </w:rPr>
              <w:t>4</w:t>
            </w:r>
            <w:r>
              <w:rPr>
                <w:rFonts w:hint="eastAsia" w:ascii="宋体" w:hAnsi="宋体" w:eastAsia="宋体" w:cs="Times New Roman"/>
                <w:color w:val="000000" w:themeColor="text1"/>
                <w:sz w:val="21"/>
                <w:szCs w:val="21"/>
                <w:lang w:val="en-US" w:eastAsia="zh-CN"/>
              </w:rPr>
              <w:t>.1</w:t>
            </w:r>
            <w:r>
              <w:rPr>
                <w:rFonts w:hint="eastAsia" w:ascii="宋体" w:hAnsi="宋体" w:cs="Times New Roman"/>
                <w:color w:val="000000" w:themeColor="text1"/>
                <w:sz w:val="21"/>
                <w:szCs w:val="21"/>
                <w:lang w:val="en-US" w:eastAsia="zh-CN"/>
              </w:rPr>
              <w:t>/4.2</w:t>
            </w:r>
          </w:p>
        </w:tc>
        <w:tc>
          <w:tcPr>
            <w:tcW w:w="10376" w:type="dxa"/>
          </w:tcPr>
          <w:p>
            <w:pPr>
              <w:ind w:firstLine="420" w:firstLineChars="200"/>
              <w:jc w:val="left"/>
              <w:rPr>
                <w:rFonts w:hint="default"/>
                <w:color w:val="000000" w:themeColor="text1"/>
                <w:lang w:val="en-US" w:eastAsia="zh-CN"/>
              </w:rPr>
            </w:pPr>
            <w:r>
              <w:rPr>
                <w:rFonts w:hint="default"/>
                <w:color w:val="000000" w:themeColor="text1"/>
                <w:lang w:val="en-US" w:eastAsia="zh-CN"/>
              </w:rPr>
              <w:t>公司编制的《组织环境与相关方要求控制程序》，确定了与其宗旨有关的外部和内部问题，它们影响到公司实现能源管理预期结果和改进其能源性能的能力。公司领导层在了解和识别内外部因素时，应充分考虑企业活动、产品和服务提供过程中发生相互作用的因素，并基于生命周期的观点实施能源因素的管理。公司领导层采用适宜的方法，如定期召开经营管理会议，对这些内部和外部因素的中高风险进行监视和评审，确保充分识别、消除，降低或减缓风险，充分利用可能的发展机遇，保证实现企业效益及能源管理体系预期结果。</w:t>
            </w:r>
          </w:p>
          <w:p>
            <w:pPr>
              <w:ind w:firstLine="420" w:firstLineChars="200"/>
              <w:rPr>
                <w:rFonts w:hint="default" w:eastAsia="宋体"/>
                <w:color w:val="000000" w:themeColor="text1"/>
                <w:sz w:val="21"/>
                <w:szCs w:val="21"/>
                <w:lang w:val="en-US" w:eastAsia="zh-CN"/>
              </w:rPr>
            </w:pPr>
            <w:r>
              <w:rPr>
                <w:rFonts w:hint="eastAsia"/>
                <w:color w:val="000000" w:themeColor="text1"/>
                <w:lang w:val="en-US" w:eastAsia="zh-CN"/>
              </w:rPr>
              <w:t>提供《能源相关方需求和期望一览表》，</w:t>
            </w:r>
            <w:r>
              <w:rPr>
                <w:rFonts w:hint="default"/>
                <w:color w:val="000000" w:themeColor="text1"/>
                <w:lang w:val="en-US" w:eastAsia="zh-CN"/>
              </w:rPr>
              <w:t>识别的能源管理体系相关方为：安全生产监督管理局</w:t>
            </w:r>
            <w:r>
              <w:rPr>
                <w:rFonts w:hint="eastAsia"/>
                <w:color w:val="000000" w:themeColor="text1"/>
                <w:lang w:val="en-US" w:eastAsia="zh-CN"/>
              </w:rPr>
              <w:t>、</w:t>
            </w:r>
            <w:r>
              <w:rPr>
                <w:rFonts w:hint="default"/>
                <w:color w:val="000000" w:themeColor="text1"/>
                <w:lang w:val="en-US" w:eastAsia="zh-CN"/>
              </w:rPr>
              <w:t>市场监督管理局</w:t>
            </w:r>
            <w:r>
              <w:rPr>
                <w:rFonts w:hint="eastAsia"/>
                <w:color w:val="000000" w:themeColor="text1"/>
                <w:lang w:val="en-US" w:eastAsia="zh-CN"/>
              </w:rPr>
              <w:t>、</w:t>
            </w:r>
            <w:r>
              <w:rPr>
                <w:rFonts w:hint="default"/>
                <w:color w:val="000000" w:themeColor="text1"/>
                <w:lang w:val="en-US" w:eastAsia="zh-CN"/>
              </w:rPr>
              <w:t>水利局</w:t>
            </w:r>
            <w:r>
              <w:rPr>
                <w:rFonts w:hint="eastAsia"/>
                <w:color w:val="000000" w:themeColor="text1"/>
                <w:lang w:val="en-US" w:eastAsia="zh-CN"/>
              </w:rPr>
              <w:t>、</w:t>
            </w:r>
            <w:r>
              <w:rPr>
                <w:rFonts w:hint="default"/>
                <w:color w:val="000000" w:themeColor="text1"/>
                <w:lang w:val="en-US" w:eastAsia="zh-CN"/>
              </w:rPr>
              <w:t>经济与信息委员会</w:t>
            </w:r>
            <w:r>
              <w:rPr>
                <w:rFonts w:hint="eastAsia"/>
                <w:color w:val="000000" w:themeColor="text1"/>
                <w:lang w:val="en-US" w:eastAsia="zh-CN"/>
              </w:rPr>
              <w:t>、</w:t>
            </w:r>
            <w:r>
              <w:rPr>
                <w:rFonts w:hint="default"/>
                <w:color w:val="000000" w:themeColor="text1"/>
                <w:lang w:val="en-US" w:eastAsia="zh-CN"/>
              </w:rPr>
              <w:t>市场监督管理局</w:t>
            </w:r>
            <w:r>
              <w:rPr>
                <w:rFonts w:hint="eastAsia"/>
                <w:color w:val="000000" w:themeColor="text1"/>
                <w:lang w:val="en-US" w:eastAsia="zh-CN"/>
              </w:rPr>
              <w:t>、</w:t>
            </w:r>
            <w:r>
              <w:rPr>
                <w:rFonts w:hint="default"/>
                <w:color w:val="000000" w:themeColor="text1"/>
                <w:lang w:val="en-US" w:eastAsia="zh-CN"/>
              </w:rPr>
              <w:t>顾客</w:t>
            </w:r>
            <w:r>
              <w:rPr>
                <w:rFonts w:hint="eastAsia"/>
                <w:color w:val="000000" w:themeColor="text1"/>
                <w:lang w:val="en-US" w:eastAsia="zh-CN"/>
              </w:rPr>
              <w:t>、</w:t>
            </w:r>
            <w:r>
              <w:rPr>
                <w:rFonts w:hint="default"/>
                <w:color w:val="000000" w:themeColor="text1"/>
                <w:lang w:val="en-US" w:eastAsia="zh-CN"/>
              </w:rPr>
              <w:t>最高管理者（法人代表）</w:t>
            </w:r>
            <w:r>
              <w:rPr>
                <w:rFonts w:hint="eastAsia"/>
                <w:color w:val="000000" w:themeColor="text1"/>
                <w:lang w:val="en-US" w:eastAsia="zh-CN"/>
              </w:rPr>
              <w:t>、</w:t>
            </w:r>
            <w:r>
              <w:rPr>
                <w:rFonts w:hint="default"/>
                <w:color w:val="000000" w:themeColor="text1"/>
                <w:lang w:val="en-US" w:eastAsia="zh-CN"/>
              </w:rPr>
              <w:t>员工</w:t>
            </w:r>
            <w:r>
              <w:rPr>
                <w:rFonts w:hint="eastAsia"/>
                <w:color w:val="000000" w:themeColor="text1"/>
                <w:lang w:val="en-US" w:eastAsia="zh-CN"/>
              </w:rPr>
              <w:t>、</w:t>
            </w:r>
            <w:r>
              <w:rPr>
                <w:rFonts w:hint="default"/>
                <w:color w:val="000000" w:themeColor="text1"/>
                <w:lang w:val="en-US" w:eastAsia="zh-CN"/>
              </w:rPr>
              <w:t>邻近单位</w:t>
            </w:r>
            <w:r>
              <w:rPr>
                <w:rFonts w:hint="eastAsia"/>
                <w:color w:val="000000" w:themeColor="text1"/>
                <w:lang w:val="en-US" w:eastAsia="zh-CN"/>
              </w:rPr>
              <w:t>、设备供应商、材料供应商、外来施工单位/个人、行政合作单位、物流公司、第三方认证服务机构、第三方监测机构、固体废物转移处理机构</w:t>
            </w:r>
            <w:r>
              <w:rPr>
                <w:rFonts w:hint="default"/>
                <w:color w:val="000000" w:themeColor="text1"/>
                <w:lang w:val="en-US" w:eastAsia="zh-CN"/>
              </w:rPr>
              <w:t>等</w:t>
            </w:r>
            <w:r>
              <w:rPr>
                <w:rFonts w:hint="default" w:eastAsia="宋体"/>
                <w:color w:val="000000" w:themeColor="text1"/>
                <w:sz w:val="21"/>
                <w:szCs w:val="21"/>
                <w:lang w:val="en-US" w:eastAsia="zh-CN"/>
              </w:rPr>
              <w:t>等，公司通过以下行为满足相关方需求和期望：遵守国家和地方各项法律法规，履行合规义务；持续改进管理体系过程，提升能源管理绩效。</w:t>
            </w:r>
          </w:p>
          <w:p>
            <w:pPr>
              <w:ind w:firstLine="420" w:firstLineChars="200"/>
              <w:rPr>
                <w:rFonts w:hint="default"/>
                <w:color w:val="000000" w:themeColor="text1"/>
                <w:lang w:val="en-US" w:eastAsia="zh-CN"/>
              </w:rPr>
            </w:pPr>
            <w:r>
              <w:rPr>
                <w:rFonts w:hint="eastAsia" w:eastAsia="宋体"/>
                <w:color w:val="000000" w:themeColor="text1"/>
                <w:sz w:val="21"/>
                <w:szCs w:val="21"/>
                <w:lang w:val="en-US" w:eastAsia="zh-CN"/>
              </w:rPr>
              <w:t>公司的能源管理涉及的内外部环境因素、相关方的需求和期望等基本识别到位，并明确了检测频率和监测部门</w:t>
            </w:r>
            <w:r>
              <w:rPr>
                <w:rFonts w:hint="eastAsia"/>
                <w:color w:val="000000" w:themeColor="text1"/>
                <w:sz w:val="21"/>
                <w:szCs w:val="21"/>
                <w:lang w:val="en-US" w:eastAsia="zh-CN"/>
              </w:rPr>
              <w:t>（管理部）</w:t>
            </w:r>
            <w:r>
              <w:rPr>
                <w:rFonts w:hint="eastAsia" w:eastAsia="宋体"/>
                <w:color w:val="000000" w:themeColor="text1"/>
                <w:sz w:val="21"/>
                <w:szCs w:val="21"/>
                <w:lang w:val="en-US" w:eastAsia="zh-CN"/>
              </w:rPr>
              <w:t>。满足要求。</w:t>
            </w:r>
          </w:p>
        </w:tc>
        <w:tc>
          <w:tcPr>
            <w:tcW w:w="1213" w:type="dxa"/>
          </w:tcPr>
          <w:p>
            <w:pPr>
              <w:rPr>
                <w:rFonts w:hint="eastAsia" w:eastAsia="宋体"/>
                <w:color w:val="000000" w:themeColor="text1"/>
                <w:lang w:val="en-US" w:eastAsia="zh-CN"/>
              </w:rPr>
            </w:pPr>
            <w:r>
              <w:rPr>
                <w:rFonts w:hint="eastAsia"/>
                <w:color w:val="000000" w:themeColor="text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160" w:type="dxa"/>
          </w:tcPr>
          <w:p>
            <w:pPr>
              <w:rPr>
                <w:color w:val="000000" w:themeColor="text1"/>
              </w:rPr>
            </w:pPr>
            <w:r>
              <w:rPr>
                <w:rFonts w:hint="eastAsia" w:ascii="宋体" w:hAnsi="宋体" w:eastAsia="宋体" w:cs="Times New Roman"/>
                <w:color w:val="000000" w:themeColor="text1"/>
                <w:sz w:val="21"/>
                <w:szCs w:val="21"/>
                <w:lang w:val="en-US" w:eastAsia="zh-CN"/>
              </w:rPr>
              <w:t>确定能源管理体系的范围</w:t>
            </w:r>
          </w:p>
        </w:tc>
        <w:tc>
          <w:tcPr>
            <w:tcW w:w="960" w:type="dxa"/>
          </w:tcPr>
          <w:p>
            <w:pPr>
              <w:rPr>
                <w:rFonts w:hint="eastAsia" w:eastAsia="宋体"/>
                <w:color w:val="000000" w:themeColor="text1"/>
                <w:lang w:eastAsia="zh-CN"/>
              </w:rPr>
            </w:pPr>
            <w:r>
              <w:rPr>
                <w:rFonts w:hint="eastAsia" w:ascii="宋体" w:hAnsi="宋体" w:cs="Times New Roman"/>
                <w:color w:val="000000" w:themeColor="text1"/>
                <w:sz w:val="21"/>
                <w:szCs w:val="21"/>
                <w:lang w:val="en-US" w:eastAsia="zh-CN"/>
              </w:rPr>
              <w:t>4</w:t>
            </w:r>
            <w:r>
              <w:rPr>
                <w:rFonts w:hint="eastAsia" w:ascii="宋体" w:hAnsi="宋体" w:eastAsia="宋体" w:cs="Times New Roman"/>
                <w:color w:val="000000" w:themeColor="text1"/>
                <w:sz w:val="21"/>
                <w:szCs w:val="21"/>
              </w:rPr>
              <w:t>.</w:t>
            </w:r>
            <w:r>
              <w:rPr>
                <w:rFonts w:hint="eastAsia" w:ascii="宋体" w:hAnsi="宋体" w:cs="Times New Roman"/>
                <w:color w:val="000000" w:themeColor="text1"/>
                <w:sz w:val="21"/>
                <w:szCs w:val="21"/>
                <w:lang w:val="en-US" w:eastAsia="zh-CN"/>
              </w:rPr>
              <w:t>3</w:t>
            </w:r>
          </w:p>
        </w:tc>
        <w:tc>
          <w:tcPr>
            <w:tcW w:w="10376" w:type="dxa"/>
          </w:tcPr>
          <w:p>
            <w:pPr>
              <w:ind w:firstLine="400" w:firstLineChars="200"/>
              <w:rPr>
                <w:rFonts w:hint="default"/>
                <w:color w:val="000000" w:themeColor="text1"/>
                <w:sz w:val="20"/>
                <w:szCs w:val="22"/>
                <w:lang w:val="en-US" w:eastAsia="zh-CN"/>
              </w:rPr>
            </w:pPr>
            <w:r>
              <w:rPr>
                <w:rFonts w:hint="eastAsia"/>
                <w:color w:val="000000" w:themeColor="text1"/>
                <w:sz w:val="20"/>
                <w:szCs w:val="22"/>
                <w:lang w:val="en-US" w:eastAsia="zh-CN"/>
              </w:rPr>
              <w:t>公司能源管理体系的边界和范围：二阶段已确认下审核范围。</w:t>
            </w:r>
          </w:p>
          <w:p>
            <w:pPr>
              <w:ind w:firstLine="420" w:firstLineChars="200"/>
              <w:rPr>
                <w:rFonts w:hint="eastAsia"/>
                <w:color w:val="000000" w:themeColor="text1"/>
                <w:sz w:val="20"/>
                <w:szCs w:val="22"/>
                <w:lang w:val="en-US" w:eastAsia="zh-CN"/>
              </w:rPr>
            </w:pPr>
            <w:r>
              <w:rPr>
                <w:rFonts w:hint="eastAsia"/>
                <w:color w:val="000000" w:themeColor="text1"/>
                <w:sz w:val="21"/>
                <w:szCs w:val="21"/>
              </w:rPr>
              <w:t>成都声立德克技术有限公司</w:t>
            </w:r>
            <w:r>
              <w:rPr>
                <w:rFonts w:hint="eastAsia"/>
                <w:color w:val="000000" w:themeColor="text1"/>
                <w:sz w:val="20"/>
                <w:szCs w:val="22"/>
                <w:lang w:val="en-US" w:eastAsia="zh-CN"/>
              </w:rPr>
              <w:t>的</w:t>
            </w:r>
            <w:r>
              <w:rPr>
                <w:rFonts w:hint="eastAsia"/>
                <w:color w:val="000000" w:themeColor="text1"/>
                <w:sz w:val="20"/>
              </w:rPr>
              <w:t>超声波水表、超声波热能表的组装；计算机信息系统集成所涉及的能源管理活动</w:t>
            </w:r>
            <w:r>
              <w:rPr>
                <w:rFonts w:hint="eastAsia"/>
                <w:color w:val="000000" w:themeColor="text1"/>
                <w:sz w:val="20"/>
                <w:szCs w:val="22"/>
                <w:lang w:val="en-US" w:eastAsia="zh-CN"/>
              </w:rPr>
              <w:t>。</w:t>
            </w:r>
          </w:p>
          <w:p>
            <w:pPr>
              <w:ind w:firstLine="400" w:firstLineChars="200"/>
              <w:rPr>
                <w:rFonts w:hint="eastAsia"/>
                <w:color w:val="000000" w:themeColor="text1"/>
                <w:sz w:val="20"/>
                <w:szCs w:val="22"/>
                <w:lang w:val="en-US" w:eastAsia="zh-CN"/>
              </w:rPr>
            </w:pPr>
            <w:r>
              <w:rPr>
                <w:rFonts w:hint="eastAsia"/>
                <w:color w:val="000000" w:themeColor="text1"/>
                <w:sz w:val="20"/>
                <w:szCs w:val="22"/>
                <w:lang w:val="en-US" w:eastAsia="zh-CN"/>
              </w:rPr>
              <w:t>核算边界：位于</w:t>
            </w:r>
            <w:r>
              <w:rPr>
                <w:rFonts w:hint="eastAsia" w:asciiTheme="minorEastAsia" w:hAnsiTheme="minorEastAsia" w:eastAsiaTheme="minorEastAsia"/>
                <w:color w:val="000000" w:themeColor="text1"/>
                <w:sz w:val="20"/>
              </w:rPr>
              <w:t>成都浩朗科技园2区第301,501号</w:t>
            </w:r>
            <w:r>
              <w:rPr>
                <w:rFonts w:hint="eastAsia" w:asciiTheme="minorEastAsia" w:hAnsiTheme="minorEastAsia" w:eastAsiaTheme="minorEastAsia"/>
                <w:color w:val="000000" w:themeColor="text1"/>
                <w:sz w:val="20"/>
                <w:lang w:eastAsia="zh-CN"/>
              </w:rPr>
              <w:t>（</w:t>
            </w:r>
            <w:r>
              <w:rPr>
                <w:rFonts w:hint="eastAsia" w:asciiTheme="minorEastAsia" w:hAnsiTheme="minorEastAsia" w:eastAsiaTheme="minorEastAsia"/>
                <w:color w:val="000000" w:themeColor="text1"/>
                <w:sz w:val="20"/>
                <w:lang w:val="en-US" w:eastAsia="zh-CN"/>
              </w:rPr>
              <w:t>办公/生产经营地址</w:t>
            </w:r>
            <w:r>
              <w:rPr>
                <w:rFonts w:hint="eastAsia" w:asciiTheme="minorEastAsia" w:hAnsiTheme="minorEastAsia" w:eastAsiaTheme="minorEastAsia"/>
                <w:color w:val="000000" w:themeColor="text1"/>
                <w:sz w:val="20"/>
                <w:lang w:eastAsia="zh-CN"/>
              </w:rPr>
              <w:t>）</w:t>
            </w:r>
            <w:r>
              <w:rPr>
                <w:rFonts w:hint="eastAsia"/>
                <w:color w:val="000000" w:themeColor="text1"/>
                <w:sz w:val="20"/>
                <w:szCs w:val="22"/>
                <w:lang w:val="en-US" w:eastAsia="zh-CN"/>
              </w:rPr>
              <w:t>的</w:t>
            </w:r>
            <w:r>
              <w:rPr>
                <w:rFonts w:hint="eastAsia"/>
                <w:color w:val="000000" w:themeColor="text1"/>
                <w:sz w:val="21"/>
                <w:szCs w:val="21"/>
              </w:rPr>
              <w:t>成都声立德克技术有限公司</w:t>
            </w:r>
            <w:r>
              <w:rPr>
                <w:rFonts w:hint="eastAsia"/>
                <w:color w:val="000000" w:themeColor="text1"/>
                <w:sz w:val="20"/>
                <w:szCs w:val="22"/>
                <w:lang w:val="en-US" w:eastAsia="zh-CN"/>
              </w:rPr>
              <w:t>的</w:t>
            </w:r>
            <w:r>
              <w:rPr>
                <w:rFonts w:hint="eastAsia"/>
                <w:color w:val="000000" w:themeColor="text1"/>
                <w:sz w:val="20"/>
              </w:rPr>
              <w:t>超声波水表、超声波热能表的组装；计算机信息系统集成所涉及的能源管理活动</w:t>
            </w:r>
            <w:r>
              <w:rPr>
                <w:rFonts w:hint="eastAsia"/>
                <w:color w:val="000000" w:themeColor="text1"/>
                <w:sz w:val="20"/>
                <w:szCs w:val="22"/>
                <w:lang w:val="en-US" w:eastAsia="zh-CN"/>
              </w:rPr>
              <w:t>；该活动涵盖了能源购入、转换、输送、使用所涉及的生产系统、辅助生产系统和附属生产系统活动全过程。</w:t>
            </w:r>
          </w:p>
          <w:p>
            <w:pPr>
              <w:ind w:firstLine="400" w:firstLineChars="200"/>
              <w:rPr>
                <w:rFonts w:hint="default"/>
                <w:color w:val="000000" w:themeColor="text1"/>
                <w:lang w:val="en-US" w:eastAsia="zh-CN"/>
              </w:rPr>
            </w:pPr>
            <w:r>
              <w:rPr>
                <w:rFonts w:hint="eastAsia"/>
                <w:color w:val="000000" w:themeColor="text1"/>
                <w:sz w:val="20"/>
                <w:szCs w:val="22"/>
                <w:lang w:val="en-US" w:eastAsia="zh-CN"/>
              </w:rPr>
              <w:t>公司没有多场所和临时场所。</w:t>
            </w:r>
          </w:p>
        </w:tc>
        <w:tc>
          <w:tcPr>
            <w:tcW w:w="1213" w:type="dxa"/>
          </w:tcPr>
          <w:p>
            <w:pPr>
              <w:rPr>
                <w:rFonts w:hint="eastAsia" w:eastAsia="宋体"/>
                <w:color w:val="000000" w:themeColor="text1"/>
                <w:lang w:val="en-US" w:eastAsia="zh-CN"/>
              </w:rPr>
            </w:pPr>
            <w:r>
              <w:rPr>
                <w:rFonts w:hint="eastAsia"/>
                <w:color w:val="000000" w:themeColor="text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160" w:type="dxa"/>
          </w:tcPr>
          <w:p>
            <w:pPr>
              <w:rPr>
                <w:rFonts w:hint="eastAsia" w:ascii="宋体" w:hAnsi="宋体" w:eastAsia="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能源管理体系的建立与策划</w:t>
            </w:r>
          </w:p>
        </w:tc>
        <w:tc>
          <w:tcPr>
            <w:tcW w:w="960" w:type="dxa"/>
          </w:tcPr>
          <w:p>
            <w:pPr>
              <w:rPr>
                <w:rFonts w:hint="default" w:ascii="宋体" w:hAnsi="宋体" w:cs="Times New Roman"/>
                <w:color w:val="000000" w:themeColor="text1"/>
                <w:sz w:val="21"/>
                <w:szCs w:val="21"/>
                <w:lang w:val="en-US" w:eastAsia="zh-CN"/>
              </w:rPr>
            </w:pPr>
            <w:r>
              <w:rPr>
                <w:rFonts w:hint="eastAsia" w:ascii="宋体" w:hAnsi="宋体" w:cs="Times New Roman"/>
                <w:color w:val="000000" w:themeColor="text1"/>
                <w:sz w:val="21"/>
                <w:szCs w:val="21"/>
                <w:lang w:val="en-US" w:eastAsia="zh-CN"/>
              </w:rPr>
              <w:t>4.4</w:t>
            </w:r>
          </w:p>
        </w:tc>
        <w:tc>
          <w:tcPr>
            <w:tcW w:w="10376" w:type="dxa"/>
          </w:tcPr>
          <w:p>
            <w:pPr>
              <w:ind w:firstLine="400" w:firstLineChars="200"/>
              <w:rPr>
                <w:rFonts w:hint="eastAsia"/>
                <w:color w:val="000000" w:themeColor="text1"/>
                <w:sz w:val="20"/>
                <w:lang w:val="en-US" w:eastAsia="zh-CN"/>
              </w:rPr>
            </w:pPr>
            <w:r>
              <w:rPr>
                <w:rFonts w:hint="eastAsia"/>
                <w:color w:val="000000" w:themeColor="text1"/>
                <w:sz w:val="20"/>
                <w:lang w:val="en-US" w:eastAsia="zh-CN"/>
              </w:rPr>
              <w:t>公司总经理重视节能降耗工作，为了系统高效地开展节约能源工作，使公司原有的节能管理更加系统化、规范化、标准化，公司根据GB/T 23331-2020 idt ISO 50001:2018、</w:t>
            </w:r>
            <w:r>
              <w:rPr>
                <w:rFonts w:hint="eastAsia" w:ascii="宋体" w:hAnsi="宋体"/>
                <w:b/>
                <w:color w:val="000000" w:themeColor="text1"/>
                <w:sz w:val="21"/>
                <w:szCs w:val="21"/>
                <w:lang w:val="de-DE"/>
              </w:rPr>
              <w:t>RB/T</w:t>
            </w:r>
            <w:r>
              <w:rPr>
                <w:rFonts w:hint="eastAsia" w:ascii="宋体" w:hAnsi="宋体"/>
                <w:color w:val="000000" w:themeColor="text1"/>
                <w:sz w:val="21"/>
                <w:szCs w:val="21"/>
              </w:rPr>
              <w:t xml:space="preserve"> </w:t>
            </w:r>
            <w:r>
              <w:rPr>
                <w:rFonts w:hint="eastAsia" w:ascii="宋体" w:hAnsi="宋体"/>
                <w:b/>
                <w:color w:val="000000" w:themeColor="text1"/>
                <w:sz w:val="21"/>
                <w:szCs w:val="21"/>
              </w:rPr>
              <w:t xml:space="preserve">101-2013 </w:t>
            </w:r>
            <w:r>
              <w:rPr>
                <w:rFonts w:hint="eastAsia"/>
                <w:color w:val="000000" w:themeColor="text1"/>
                <w:sz w:val="20"/>
                <w:lang w:val="en-US" w:eastAsia="zh-CN"/>
              </w:rPr>
              <w:t>标准及国家相关法律法规，充分结合本公司能源管理的实际情况，建立能源管理体系，并编写“能源管理手册”及相应的能源控制文件，通过全面系统的策划、实施、检查和改进，对能源管理的全过程进行系统的科学监控，有效控制能源消耗并最终实现提高能源利用效率、降低能源消耗的目的。能源管理体系自2022年1月16日正式实施运行以来，至今已取得较好的能源绩效。</w:t>
            </w:r>
          </w:p>
        </w:tc>
        <w:tc>
          <w:tcPr>
            <w:tcW w:w="1213" w:type="dxa"/>
          </w:tcPr>
          <w:p>
            <w:pPr>
              <w:rPr>
                <w:rFonts w:hint="eastAsia" w:eastAsia="宋体"/>
                <w:color w:val="000000" w:themeColor="text1"/>
                <w:lang w:val="en-US" w:eastAsia="zh-CN"/>
              </w:rPr>
            </w:pPr>
            <w:r>
              <w:rPr>
                <w:rFonts w:hint="eastAsia"/>
                <w:color w:val="000000" w:themeColor="text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trPr>
        <w:tc>
          <w:tcPr>
            <w:tcW w:w="2160" w:type="dxa"/>
          </w:tcPr>
          <w:p>
            <w:pPr>
              <w:rPr>
                <w:rFonts w:hint="eastAsia" w:ascii="宋体" w:hAnsi="宋体" w:eastAsia="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领导作用和承诺</w:t>
            </w:r>
          </w:p>
        </w:tc>
        <w:tc>
          <w:tcPr>
            <w:tcW w:w="960" w:type="dxa"/>
          </w:tcPr>
          <w:p>
            <w:pPr>
              <w:rPr>
                <w:rFonts w:hint="eastAsia" w:ascii="宋体" w:hAnsi="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 xml:space="preserve">5.1 </w:t>
            </w:r>
          </w:p>
        </w:tc>
        <w:tc>
          <w:tcPr>
            <w:tcW w:w="10376" w:type="dxa"/>
          </w:tcPr>
          <w:p>
            <w:pPr>
              <w:ind w:firstLine="420" w:firstLineChars="200"/>
              <w:rPr>
                <w:rFonts w:hint="eastAsia"/>
                <w:color w:val="000000" w:themeColor="text1"/>
                <w:sz w:val="20"/>
                <w:lang w:val="en-US" w:eastAsia="zh-CN"/>
              </w:rPr>
            </w:pPr>
            <w:r>
              <w:rPr>
                <w:rFonts w:hint="eastAsia" w:asciiTheme="minorEastAsia" w:hAnsiTheme="minorEastAsia" w:eastAsiaTheme="minorEastAsia"/>
                <w:color w:val="000000" w:themeColor="text1"/>
                <w:szCs w:val="21"/>
              </w:rPr>
              <w:t>公司手册中明确了公司领导层的承诺和要求，包括：体系的理念融入到公司管理工作的各个环节中并得到运用，对其建立、实施和改进能源管理体系并持续改进其有效性的承诺提供证据：在企业内部传达满足法律法规要求的重要性；制定能源方针；确保能源目标的制定；确保组建能源管理团队；确保能源绩效参数恰当反映能源绩效；进行管理评审；确保能源管理体系所需资源的配置和获得等</w:t>
            </w:r>
            <w:r>
              <w:rPr>
                <w:rFonts w:asciiTheme="minorEastAsia" w:hAnsiTheme="minorEastAsia" w:eastAsiaTheme="minorEastAsia"/>
                <w:color w:val="000000" w:themeColor="text1"/>
                <w:szCs w:val="21"/>
              </w:rPr>
              <w:t>。</w:t>
            </w:r>
          </w:p>
        </w:tc>
        <w:tc>
          <w:tcPr>
            <w:tcW w:w="1213" w:type="dxa"/>
          </w:tcPr>
          <w:p>
            <w:pPr>
              <w:rPr>
                <w:rFonts w:hint="eastAsia" w:eastAsia="宋体"/>
                <w:color w:val="000000" w:themeColor="text1"/>
                <w:lang w:val="en-US" w:eastAsia="zh-CN"/>
              </w:rPr>
            </w:pPr>
            <w:r>
              <w:rPr>
                <w:rFonts w:hint="eastAsia"/>
                <w:color w:val="000000" w:themeColor="text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160" w:type="dxa"/>
          </w:tcPr>
          <w:p>
            <w:pPr>
              <w:rPr>
                <w:rFonts w:hint="eastAsia"/>
                <w:color w:val="000000" w:themeColor="text1"/>
                <w:lang w:val="en-US" w:eastAsia="zh-CN"/>
              </w:rPr>
            </w:pPr>
            <w:r>
              <w:rPr>
                <w:rFonts w:hint="eastAsia"/>
                <w:color w:val="000000" w:themeColor="text1"/>
                <w:lang w:val="en-US" w:eastAsia="zh-CN"/>
              </w:rPr>
              <w:t>能源方针</w:t>
            </w:r>
          </w:p>
          <w:p>
            <w:pPr>
              <w:pStyle w:val="2"/>
              <w:rPr>
                <w:rFonts w:hint="default"/>
                <w:color w:val="000000" w:themeColor="text1"/>
                <w:lang w:val="en-US" w:eastAsia="zh-CN"/>
              </w:rPr>
            </w:pPr>
            <w:r>
              <w:rPr>
                <w:rFonts w:hint="eastAsia" w:ascii="宋体" w:hAnsi="宋体" w:cs="Times New Roman"/>
                <w:color w:val="000000" w:themeColor="text1"/>
                <w:sz w:val="21"/>
                <w:szCs w:val="21"/>
                <w:lang w:val="en-US" w:eastAsia="zh-CN"/>
              </w:rPr>
              <w:t>目标指标</w:t>
            </w:r>
          </w:p>
        </w:tc>
        <w:tc>
          <w:tcPr>
            <w:tcW w:w="960" w:type="dxa"/>
          </w:tcPr>
          <w:p>
            <w:pPr>
              <w:rPr>
                <w:rFonts w:hint="eastAsia" w:ascii="宋体" w:hAnsi="宋体" w:eastAsia="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 xml:space="preserve">5.2 </w:t>
            </w:r>
          </w:p>
          <w:p>
            <w:pPr>
              <w:rPr>
                <w:rFonts w:hint="default"/>
                <w:color w:val="000000" w:themeColor="text1"/>
                <w:lang w:val="en-US" w:eastAsia="zh-CN"/>
              </w:rPr>
            </w:pPr>
            <w:r>
              <w:rPr>
                <w:rFonts w:hint="eastAsia" w:ascii="宋体" w:hAnsi="宋体" w:eastAsia="宋体" w:cs="Times New Roman"/>
                <w:color w:val="000000" w:themeColor="text1"/>
                <w:sz w:val="21"/>
                <w:szCs w:val="21"/>
                <w:lang w:val="en-US" w:eastAsia="zh-CN"/>
              </w:rPr>
              <w:t>6.2</w:t>
            </w:r>
          </w:p>
        </w:tc>
        <w:tc>
          <w:tcPr>
            <w:tcW w:w="10376" w:type="dxa"/>
          </w:tcPr>
          <w:p>
            <w:pPr>
              <w:ind w:firstLine="420" w:firstLineChars="200"/>
              <w:rPr>
                <w:rFonts w:hint="default"/>
                <w:color w:val="000000" w:themeColor="text1"/>
                <w:lang w:val="en-US" w:eastAsia="zh-CN"/>
              </w:rPr>
            </w:pPr>
            <w:r>
              <w:rPr>
                <w:rFonts w:hint="eastAsia"/>
                <w:color w:val="000000" w:themeColor="text1"/>
                <w:lang w:val="en-US" w:eastAsia="zh-CN"/>
              </w:rPr>
              <w:t>提供《SG/En-CX-03目标、指标的制定控制程序》，有编审批，符合标准要求。</w:t>
            </w:r>
          </w:p>
          <w:p>
            <w:pPr>
              <w:ind w:firstLine="420" w:firstLineChars="200"/>
              <w:rPr>
                <w:rFonts w:hint="eastAsia"/>
                <w:color w:val="000000" w:themeColor="text1"/>
                <w:lang w:val="en-US" w:eastAsia="zh-CN"/>
              </w:rPr>
            </w:pPr>
            <w:r>
              <w:rPr>
                <w:rFonts w:hint="eastAsia"/>
                <w:color w:val="000000" w:themeColor="text1"/>
                <w:lang w:val="en-US" w:eastAsia="zh-CN"/>
              </w:rPr>
              <w:t>能源方针：</w:t>
            </w:r>
          </w:p>
          <w:p>
            <w:pPr>
              <w:ind w:firstLine="420" w:firstLineChars="200"/>
              <w:rPr>
                <w:rFonts w:hint="eastAsia"/>
                <w:color w:val="000000" w:themeColor="text1"/>
                <w:lang w:val="en-US" w:eastAsia="zh-CN"/>
              </w:rPr>
            </w:pPr>
            <w:r>
              <w:rPr>
                <w:rFonts w:hint="eastAsia"/>
                <w:color w:val="000000" w:themeColor="text1"/>
                <w:lang w:val="en-US" w:eastAsia="zh-CN"/>
              </w:rPr>
              <w:t>遵守法规 清洁生产；节能降耗 创新改造；能耗限额 持续改进。</w:t>
            </w:r>
          </w:p>
          <w:p>
            <w:pPr>
              <w:ind w:firstLine="420" w:firstLineChars="200"/>
              <w:rPr>
                <w:rFonts w:hint="eastAsia" w:eastAsia="宋体"/>
                <w:color w:val="000000" w:themeColor="text1"/>
                <w:lang w:val="en-US" w:eastAsia="zh-CN"/>
              </w:rPr>
            </w:pPr>
            <w:r>
              <w:rPr>
                <w:rFonts w:hint="eastAsia" w:eastAsia="宋体"/>
                <w:color w:val="000000" w:themeColor="text1"/>
                <w:lang w:val="en-US" w:eastAsia="zh-CN"/>
              </w:rPr>
              <w:t>能源方针内容基本符合标准要求和企业实际。能源方针由总经理批准发布，以书面、电子媒介、宣传栏等方式，便于员工、顾客及其他相关方所获取，并且予以评审。</w:t>
            </w:r>
          </w:p>
          <w:p>
            <w:pPr>
              <w:pStyle w:val="2"/>
              <w:jc w:val="both"/>
              <w:rPr>
                <w:rFonts w:hint="eastAsia" w:ascii="Times New Roman" w:hAnsi="Times New Roman" w:eastAsia="宋体" w:cs="Times New Roman"/>
                <w:bCs w:val="0"/>
                <w:color w:val="000000" w:themeColor="text1"/>
                <w:spacing w:val="0"/>
                <w:kern w:val="2"/>
                <w:sz w:val="21"/>
                <w:lang w:val="en-US" w:eastAsia="zh-CN" w:bidi="ar-SA"/>
              </w:rPr>
            </w:pPr>
            <w:r>
              <w:drawing>
                <wp:inline distT="0" distB="0" distL="114300" distR="114300">
                  <wp:extent cx="6159500" cy="1250950"/>
                  <wp:effectExtent l="0" t="0" r="0"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6159500" cy="125095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0" w:after="0"/>
              <w:ind w:firstLine="420" w:firstLineChars="200"/>
              <w:jc w:val="both"/>
              <w:textAlignment w:val="auto"/>
              <w:rPr>
                <w:rFonts w:hint="default"/>
                <w:color w:val="000000" w:themeColor="text1"/>
                <w:lang w:val="en-US" w:eastAsia="zh-CN"/>
              </w:rPr>
            </w:pPr>
            <w:r>
              <w:rPr>
                <w:rFonts w:hint="eastAsia" w:ascii="Times New Roman" w:hAnsi="Times New Roman" w:eastAsia="宋体" w:cs="Times New Roman"/>
                <w:bCs w:val="0"/>
                <w:color w:val="000000" w:themeColor="text1"/>
                <w:spacing w:val="0"/>
                <w:kern w:val="2"/>
                <w:sz w:val="21"/>
                <w:lang w:val="en-US" w:eastAsia="zh-CN" w:bidi="ar-SA"/>
              </w:rPr>
              <w:t>并且将公司目标指标分解到各部门</w:t>
            </w:r>
            <w:r>
              <w:rPr>
                <w:rFonts w:hint="eastAsia" w:cs="Times New Roman"/>
                <w:bCs w:val="0"/>
                <w:color w:val="000000" w:themeColor="text1"/>
                <w:spacing w:val="0"/>
                <w:kern w:val="2"/>
                <w:sz w:val="21"/>
                <w:lang w:val="en-US" w:eastAsia="zh-CN" w:bidi="ar-SA"/>
              </w:rPr>
              <w:t>。</w:t>
            </w:r>
          </w:p>
        </w:tc>
        <w:tc>
          <w:tcPr>
            <w:tcW w:w="1213" w:type="dxa"/>
          </w:tcPr>
          <w:p>
            <w:pPr>
              <w:rPr>
                <w:rFonts w:hint="eastAsia" w:eastAsia="宋体"/>
                <w:color w:val="000000" w:themeColor="text1"/>
                <w:lang w:val="en-US" w:eastAsia="zh-CN"/>
              </w:rPr>
            </w:pPr>
            <w:r>
              <w:rPr>
                <w:rFonts w:hint="eastAsia"/>
                <w:color w:val="000000" w:themeColor="text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160" w:type="dxa"/>
          </w:tcPr>
          <w:p>
            <w:pPr>
              <w:rPr>
                <w:rFonts w:hint="eastAsia" w:ascii="宋体" w:hAnsi="宋体" w:eastAsia="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组织的岗位、职责和权限</w:t>
            </w:r>
          </w:p>
        </w:tc>
        <w:tc>
          <w:tcPr>
            <w:tcW w:w="960" w:type="dxa"/>
          </w:tcPr>
          <w:p>
            <w:pPr>
              <w:rPr>
                <w:rFonts w:hint="eastAsia" w:ascii="宋体" w:hAnsi="宋体" w:eastAsia="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 xml:space="preserve">5.3 </w:t>
            </w:r>
          </w:p>
        </w:tc>
        <w:tc>
          <w:tcPr>
            <w:tcW w:w="10376" w:type="dxa"/>
          </w:tcPr>
          <w:p>
            <w:pPr>
              <w:numPr>
                <w:ilvl w:val="0"/>
                <w:numId w:val="0"/>
              </w:numPr>
              <w:ind w:firstLine="400" w:firstLineChars="200"/>
              <w:rPr>
                <w:rFonts w:hint="eastAsia"/>
                <w:color w:val="000000" w:themeColor="text1"/>
                <w:sz w:val="20"/>
                <w:lang w:val="en-US" w:eastAsia="zh-CN"/>
              </w:rPr>
            </w:pPr>
            <w:r>
              <w:rPr>
                <w:rFonts w:hint="eastAsia"/>
                <w:color w:val="000000" w:themeColor="text1"/>
                <w:sz w:val="20"/>
                <w:lang w:val="en-US" w:eastAsia="zh-CN"/>
              </w:rPr>
              <w:t>1、最高管理者为了确保组织内相关角色的职责和权限得到分配和沟通，最高管理者将以下职责和权力分配给能源管理团队:</w:t>
            </w:r>
          </w:p>
          <w:p>
            <w:pPr>
              <w:numPr>
                <w:ilvl w:val="0"/>
                <w:numId w:val="0"/>
              </w:numPr>
              <w:ind w:firstLine="600" w:firstLineChars="300"/>
              <w:rPr>
                <w:rFonts w:hint="eastAsia"/>
                <w:color w:val="000000" w:themeColor="text1"/>
                <w:sz w:val="20"/>
                <w:lang w:val="en-US" w:eastAsia="zh-CN"/>
              </w:rPr>
            </w:pPr>
            <w:r>
              <w:rPr>
                <w:rFonts w:hint="eastAsia"/>
                <w:color w:val="000000" w:themeColor="text1"/>
                <w:sz w:val="20"/>
                <w:lang w:val="en-US" w:eastAsia="zh-CN"/>
              </w:rPr>
              <w:t>a)确保环境管理体系的建立、实施、维护和持续改进;</w:t>
            </w:r>
          </w:p>
          <w:p>
            <w:pPr>
              <w:numPr>
                <w:ilvl w:val="0"/>
                <w:numId w:val="0"/>
              </w:numPr>
              <w:ind w:firstLine="600" w:firstLineChars="300"/>
              <w:rPr>
                <w:rFonts w:hint="eastAsia"/>
                <w:color w:val="000000" w:themeColor="text1"/>
                <w:sz w:val="20"/>
                <w:lang w:val="en-US" w:eastAsia="zh-CN"/>
              </w:rPr>
            </w:pPr>
            <w:r>
              <w:rPr>
                <w:rFonts w:hint="eastAsia"/>
                <w:color w:val="000000" w:themeColor="text1"/>
                <w:sz w:val="20"/>
                <w:lang w:val="en-US" w:eastAsia="zh-CN"/>
              </w:rPr>
              <w:t>b)确保能源管理体系符合本文件的要求;</w:t>
            </w:r>
          </w:p>
          <w:p>
            <w:pPr>
              <w:numPr>
                <w:ilvl w:val="0"/>
                <w:numId w:val="0"/>
              </w:numPr>
              <w:ind w:firstLine="600" w:firstLineChars="300"/>
              <w:rPr>
                <w:rFonts w:hint="eastAsia"/>
                <w:color w:val="000000" w:themeColor="text1"/>
                <w:sz w:val="20"/>
                <w:lang w:val="en-US" w:eastAsia="zh-CN"/>
              </w:rPr>
            </w:pPr>
            <w:r>
              <w:rPr>
                <w:rFonts w:hint="eastAsia"/>
                <w:color w:val="000000" w:themeColor="text1"/>
                <w:sz w:val="20"/>
                <w:lang w:val="en-US" w:eastAsia="zh-CN"/>
              </w:rPr>
              <w:t>c)执行行动计划，持续改善能源性能;</w:t>
            </w:r>
          </w:p>
          <w:p>
            <w:pPr>
              <w:numPr>
                <w:ilvl w:val="0"/>
                <w:numId w:val="0"/>
              </w:numPr>
              <w:ind w:firstLine="600" w:firstLineChars="300"/>
              <w:rPr>
                <w:rFonts w:hint="eastAsia"/>
                <w:color w:val="000000" w:themeColor="text1"/>
                <w:sz w:val="20"/>
                <w:lang w:val="en-US" w:eastAsia="zh-CN"/>
              </w:rPr>
            </w:pPr>
            <w:r>
              <w:rPr>
                <w:rFonts w:hint="eastAsia"/>
                <w:color w:val="000000" w:themeColor="text1"/>
                <w:sz w:val="20"/>
                <w:lang w:val="en-US" w:eastAsia="zh-CN"/>
              </w:rPr>
              <w:t>d)定期向最高管理层汇报能源管理体系的绩效和能源绩效的改善情况;</w:t>
            </w:r>
          </w:p>
          <w:p>
            <w:pPr>
              <w:numPr>
                <w:ilvl w:val="0"/>
                <w:numId w:val="0"/>
              </w:numPr>
              <w:ind w:firstLine="600" w:firstLineChars="300"/>
              <w:rPr>
                <w:rFonts w:hint="default"/>
                <w:color w:val="000000" w:themeColor="text1"/>
                <w:sz w:val="20"/>
                <w:lang w:val="en-US" w:eastAsia="zh-CN"/>
              </w:rPr>
            </w:pPr>
            <w:r>
              <w:rPr>
                <w:rFonts w:hint="eastAsia"/>
                <w:color w:val="000000" w:themeColor="text1"/>
                <w:sz w:val="20"/>
                <w:lang w:val="en-US" w:eastAsia="zh-CN"/>
              </w:rPr>
              <w:t xml:space="preserve">e)建立标准和方法，以确保能源管理体系的操作和控制是有效的。 </w:t>
            </w:r>
          </w:p>
          <w:p>
            <w:pPr>
              <w:ind w:firstLine="400" w:firstLineChars="200"/>
              <w:rPr>
                <w:rFonts w:hint="eastAsia"/>
                <w:color w:val="000000" w:themeColor="text1"/>
                <w:sz w:val="20"/>
                <w:szCs w:val="22"/>
                <w:lang w:val="en-US" w:eastAsia="zh-CN"/>
              </w:rPr>
            </w:pPr>
            <w:r>
              <w:rPr>
                <w:rFonts w:hint="eastAsia"/>
                <w:color w:val="000000" w:themeColor="text1"/>
                <w:sz w:val="20"/>
                <w:lang w:val="en-US" w:eastAsia="zh-CN"/>
              </w:rPr>
              <w:t>2、公司设有</w:t>
            </w:r>
            <w:r>
              <w:rPr>
                <w:rFonts w:hint="eastAsia"/>
                <w:color w:val="000000" w:themeColor="text1"/>
                <w:szCs w:val="21"/>
              </w:rPr>
              <w:t>管理层、</w:t>
            </w:r>
            <w:r>
              <w:rPr>
                <w:rFonts w:hint="eastAsia"/>
                <w:color w:val="000000" w:themeColor="text1"/>
                <w:szCs w:val="21"/>
                <w:lang w:val="en-US" w:eastAsia="zh-CN"/>
              </w:rPr>
              <w:t>管理部</w:t>
            </w:r>
            <w:r>
              <w:rPr>
                <w:rFonts w:hint="eastAsia"/>
                <w:color w:val="000000" w:themeColor="text1"/>
                <w:szCs w:val="21"/>
              </w:rPr>
              <w:t>、生产</w:t>
            </w:r>
            <w:r>
              <w:rPr>
                <w:rFonts w:hint="eastAsia"/>
                <w:color w:val="000000" w:themeColor="text1"/>
                <w:szCs w:val="21"/>
                <w:lang w:val="en-US" w:eastAsia="zh-CN"/>
              </w:rPr>
              <w:t>部</w:t>
            </w:r>
            <w:r>
              <w:rPr>
                <w:rFonts w:hint="eastAsia"/>
                <w:color w:val="000000" w:themeColor="text1"/>
                <w:szCs w:val="21"/>
              </w:rPr>
              <w:t>、</w:t>
            </w:r>
            <w:r>
              <w:rPr>
                <w:rFonts w:hint="eastAsia"/>
                <w:color w:val="000000" w:themeColor="text1"/>
                <w:szCs w:val="21"/>
                <w:lang w:val="en-US" w:eastAsia="zh-CN"/>
              </w:rPr>
              <w:t>销售部</w:t>
            </w:r>
            <w:r>
              <w:rPr>
                <w:rFonts w:hint="eastAsia"/>
                <w:color w:val="000000" w:themeColor="text1"/>
                <w:szCs w:val="21"/>
                <w:lang w:eastAsia="zh-CN"/>
              </w:rPr>
              <w:t>、</w:t>
            </w:r>
            <w:r>
              <w:rPr>
                <w:rFonts w:hint="eastAsia"/>
                <w:color w:val="000000" w:themeColor="text1"/>
                <w:szCs w:val="21"/>
                <w:lang w:val="en-US" w:eastAsia="zh-CN"/>
              </w:rPr>
              <w:t>技术部、采购部</w:t>
            </w:r>
            <w:r>
              <w:rPr>
                <w:rFonts w:hint="eastAsia"/>
                <w:color w:val="000000" w:themeColor="text1"/>
                <w:sz w:val="20"/>
                <w:szCs w:val="22"/>
                <w:lang w:val="en-US" w:eastAsia="zh-CN"/>
              </w:rPr>
              <w:t>等。</w:t>
            </w:r>
          </w:p>
          <w:p>
            <w:pPr>
              <w:ind w:firstLine="400" w:firstLineChars="200"/>
              <w:rPr>
                <w:rFonts w:hint="eastAsia"/>
                <w:color w:val="000000" w:themeColor="text1"/>
                <w:sz w:val="20"/>
                <w:lang w:val="en-US" w:eastAsia="zh-CN"/>
              </w:rPr>
            </w:pPr>
            <w:r>
              <w:rPr>
                <w:rFonts w:hint="eastAsia"/>
                <w:color w:val="000000" w:themeColor="text1"/>
                <w:sz w:val="20"/>
                <w:lang w:val="en-US" w:eastAsia="zh-CN"/>
              </w:rPr>
              <w:t>从管理层到各部门、各岗位能源职责权限均以文件化予以规定在“声立德克部门岗位职责”条款中予以规定，编审批齐全。</w:t>
            </w:r>
          </w:p>
        </w:tc>
        <w:tc>
          <w:tcPr>
            <w:tcW w:w="1213" w:type="dxa"/>
          </w:tcPr>
          <w:p>
            <w:pPr>
              <w:rPr>
                <w:rFonts w:hint="eastAsia" w:eastAsia="宋体"/>
                <w:color w:val="000000" w:themeColor="text1"/>
                <w:lang w:val="en-US" w:eastAsia="zh-CN"/>
              </w:rPr>
            </w:pPr>
            <w:r>
              <w:rPr>
                <w:rFonts w:hint="eastAsia"/>
                <w:color w:val="000000" w:themeColor="text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hint="eastAsia" w:ascii="宋体" w:hAnsi="宋体" w:eastAsia="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应对风险和机遇的措施</w:t>
            </w:r>
          </w:p>
        </w:tc>
        <w:tc>
          <w:tcPr>
            <w:tcW w:w="960" w:type="dxa"/>
          </w:tcPr>
          <w:p>
            <w:pPr>
              <w:rPr>
                <w:rFonts w:hint="eastAsia" w:ascii="宋体" w:hAnsi="宋体" w:eastAsia="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6.1</w:t>
            </w:r>
          </w:p>
        </w:tc>
        <w:tc>
          <w:tcPr>
            <w:tcW w:w="10376" w:type="dxa"/>
          </w:tcPr>
          <w:p>
            <w:pPr>
              <w:ind w:firstLine="420" w:firstLineChars="200"/>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公司通过对目标和战略方向相关影响其实现能源管理体系预期结果的各种内外部环境因素的识别与评价，有效应对风险和机遇。</w:t>
            </w:r>
          </w:p>
          <w:p>
            <w:pPr>
              <w:ind w:firstLine="420" w:firstLineChars="200"/>
              <w:rPr>
                <w:rFonts w:hint="eastAsia" w:eastAsia="宋体"/>
                <w:color w:val="000000" w:themeColor="text1"/>
                <w:sz w:val="21"/>
                <w:szCs w:val="21"/>
                <w:lang w:val="en-US" w:eastAsia="zh-CN"/>
              </w:rPr>
            </w:pPr>
            <w:r>
              <w:rPr>
                <w:rFonts w:hint="eastAsia"/>
                <w:color w:val="000000" w:themeColor="text1"/>
                <w:sz w:val="21"/>
                <w:szCs w:val="21"/>
                <w:lang w:val="en-US" w:eastAsia="zh-CN"/>
              </w:rPr>
              <w:t>公司</w:t>
            </w:r>
            <w:r>
              <w:rPr>
                <w:rFonts w:hint="eastAsia" w:eastAsia="宋体"/>
                <w:color w:val="000000" w:themeColor="text1"/>
                <w:sz w:val="21"/>
                <w:szCs w:val="21"/>
                <w:lang w:val="en-US" w:eastAsia="zh-CN"/>
              </w:rPr>
              <w:t xml:space="preserve">管理层通过战略分析与风险识别工作确认影响目标实现的内部和外部风险因素。 </w:t>
            </w:r>
          </w:p>
          <w:p>
            <w:pPr>
              <w:ind w:firstLine="420" w:firstLineChars="200"/>
              <w:rPr>
                <w:rFonts w:hint="eastAsia" w:eastAsia="宋体"/>
                <w:color w:val="000000" w:themeColor="text1"/>
                <w:sz w:val="21"/>
                <w:szCs w:val="21"/>
                <w:lang w:val="en-US" w:eastAsia="zh-CN"/>
              </w:rPr>
            </w:pPr>
            <w:r>
              <w:rPr>
                <w:rFonts w:hint="eastAsia"/>
                <w:color w:val="000000" w:themeColor="text1"/>
                <w:sz w:val="21"/>
                <w:szCs w:val="21"/>
                <w:lang w:val="en-US" w:eastAsia="zh-CN"/>
              </w:rPr>
              <w:t>公司的</w:t>
            </w:r>
            <w:r>
              <w:rPr>
                <w:rFonts w:hint="eastAsia" w:eastAsia="宋体"/>
                <w:color w:val="000000" w:themeColor="text1"/>
                <w:sz w:val="21"/>
                <w:szCs w:val="21"/>
                <w:lang w:val="en-US" w:eastAsia="zh-CN"/>
              </w:rPr>
              <w:t>各职能部门、生产单位负责对风险进行评价,建立风险管理数据</w:t>
            </w:r>
            <w:r>
              <w:rPr>
                <w:rFonts w:hint="eastAsia"/>
                <w:color w:val="000000" w:themeColor="text1"/>
                <w:sz w:val="21"/>
                <w:szCs w:val="21"/>
                <w:lang w:val="en-US" w:eastAsia="zh-CN"/>
              </w:rPr>
              <w:t>，</w:t>
            </w:r>
            <w:r>
              <w:rPr>
                <w:rFonts w:hint="eastAsia" w:eastAsia="宋体"/>
                <w:color w:val="000000" w:themeColor="text1"/>
                <w:sz w:val="21"/>
                <w:szCs w:val="21"/>
                <w:lang w:val="en-US" w:eastAsia="zh-CN"/>
              </w:rPr>
              <w:t>根据风险因素发生的可能性和影响</w:t>
            </w:r>
            <w:r>
              <w:rPr>
                <w:rFonts w:hint="eastAsia"/>
                <w:color w:val="000000" w:themeColor="text1"/>
                <w:sz w:val="21"/>
                <w:szCs w:val="21"/>
                <w:lang w:val="en-US" w:eastAsia="zh-CN"/>
              </w:rPr>
              <w:t>，</w:t>
            </w:r>
            <w:r>
              <w:rPr>
                <w:rFonts w:hint="eastAsia" w:eastAsia="宋体"/>
                <w:color w:val="000000" w:themeColor="text1"/>
                <w:sz w:val="21"/>
                <w:szCs w:val="21"/>
                <w:lang w:val="en-US" w:eastAsia="zh-CN"/>
              </w:rPr>
              <w:t>风险控制与应对:公司建立并严格执行授权管理、决策管理、绩效考核、法律顾问制度及重要岗位权力制衡制度等内控措施,控制重要业务、关键流程、关键控制点和重大风险</w:t>
            </w:r>
            <w:r>
              <w:rPr>
                <w:rFonts w:hint="eastAsia"/>
                <w:color w:val="000000" w:themeColor="text1"/>
                <w:sz w:val="21"/>
                <w:szCs w:val="21"/>
                <w:lang w:val="en-US" w:eastAsia="zh-CN"/>
              </w:rPr>
              <w:t>，</w:t>
            </w:r>
            <w:r>
              <w:rPr>
                <w:rFonts w:hint="eastAsia" w:eastAsia="宋体"/>
                <w:color w:val="000000" w:themeColor="text1"/>
                <w:sz w:val="21"/>
                <w:szCs w:val="21"/>
                <w:lang w:val="en-US" w:eastAsia="zh-CN"/>
              </w:rPr>
              <w:t>对高风险业务程序合规。</w:t>
            </w:r>
          </w:p>
          <w:p>
            <w:pPr>
              <w:ind w:firstLine="420" w:firstLineChars="200"/>
              <w:rPr>
                <w:rFonts w:hint="default" w:eastAsia="宋体" w:cs="Times New Roman"/>
                <w:bCs w:val="0"/>
                <w:color w:val="000000" w:themeColor="text1"/>
                <w:spacing w:val="0"/>
                <w:kern w:val="2"/>
                <w:sz w:val="21"/>
                <w:szCs w:val="22"/>
                <w:lang w:val="en-US" w:eastAsia="zh-CN" w:bidi="ar-SA"/>
              </w:rPr>
            </w:pPr>
            <w:r>
              <w:rPr>
                <w:rFonts w:hint="eastAsia" w:cs="Times New Roman" w:asciiTheme="minorEastAsia" w:hAnsiTheme="minorEastAsia" w:eastAsiaTheme="minorEastAsia"/>
                <w:bCs w:val="0"/>
                <w:color w:val="000000" w:themeColor="text1"/>
                <w:spacing w:val="0"/>
                <w:kern w:val="2"/>
                <w:sz w:val="21"/>
                <w:szCs w:val="21"/>
                <w:lang w:val="en-US" w:eastAsia="zh-CN" w:bidi="ar-SA"/>
              </w:rPr>
              <w:t>提供《风险与机遇评估分析表》，按照：类型、风险及机遇的识别（类别、外部因素及相关方描述、风险和机遇）、风险及机遇的评估（发生可能性×严重性、等级）、风险及机遇应对措施等进行，共16个，3个高风险其余全部为一般风险和低风险和机遇。较适合公司现状。</w:t>
            </w:r>
          </w:p>
        </w:tc>
        <w:tc>
          <w:tcPr>
            <w:tcW w:w="1213" w:type="dxa"/>
          </w:tcPr>
          <w:p>
            <w:pPr>
              <w:rPr>
                <w:rFonts w:hint="eastAsia" w:eastAsia="宋体"/>
                <w:color w:val="000000" w:themeColor="text1"/>
                <w:lang w:val="en-US" w:eastAsia="zh-CN"/>
              </w:rPr>
            </w:pPr>
            <w:r>
              <w:rPr>
                <w:rFonts w:hint="eastAsia"/>
                <w:color w:val="000000" w:themeColor="text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160" w:type="dxa"/>
          </w:tcPr>
          <w:p>
            <w:pPr>
              <w:rPr>
                <w:rFonts w:hint="eastAsia" w:ascii="宋体" w:hAnsi="宋体" w:eastAsia="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资源</w:t>
            </w:r>
          </w:p>
        </w:tc>
        <w:tc>
          <w:tcPr>
            <w:tcW w:w="960" w:type="dxa"/>
          </w:tcPr>
          <w:p>
            <w:pPr>
              <w:rPr>
                <w:rFonts w:hint="eastAsia" w:ascii="宋体" w:hAnsi="宋体" w:eastAsia="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 xml:space="preserve">7.1 </w:t>
            </w:r>
          </w:p>
        </w:tc>
        <w:tc>
          <w:tcPr>
            <w:tcW w:w="10376" w:type="dxa"/>
          </w:tcPr>
          <w:p>
            <w:pPr>
              <w:widowControl/>
              <w:spacing w:after="0"/>
              <w:ind w:firstLine="400" w:firstLineChars="200"/>
              <w:jc w:val="left"/>
              <w:rPr>
                <w:rFonts w:hint="eastAsia"/>
                <w:color w:val="000000" w:themeColor="text1"/>
                <w:lang w:val="en-US" w:eastAsia="zh-CN"/>
              </w:rPr>
            </w:pPr>
            <w:r>
              <w:rPr>
                <w:rFonts w:hint="eastAsia"/>
                <w:color w:val="000000" w:themeColor="text1"/>
                <w:sz w:val="20"/>
              </w:rPr>
              <w:t>公司</w:t>
            </w:r>
            <w:r>
              <w:rPr>
                <w:rFonts w:hint="eastAsia"/>
                <w:color w:val="000000" w:themeColor="text1"/>
                <w:szCs w:val="21"/>
              </w:rPr>
              <w:t>总人数</w:t>
            </w:r>
            <w:r>
              <w:rPr>
                <w:rFonts w:hint="eastAsia"/>
                <w:color w:val="000000" w:themeColor="text1"/>
                <w:szCs w:val="21"/>
                <w:lang w:val="en-US" w:eastAsia="zh-CN"/>
              </w:rPr>
              <w:t>46</w:t>
            </w:r>
            <w:r>
              <w:rPr>
                <w:rFonts w:hint="eastAsia"/>
                <w:color w:val="000000" w:themeColor="text1"/>
                <w:szCs w:val="21"/>
              </w:rPr>
              <w:t>人，其中体系覆盖人数</w:t>
            </w:r>
            <w:r>
              <w:rPr>
                <w:rFonts w:hint="eastAsia"/>
                <w:color w:val="000000" w:themeColor="text1"/>
                <w:szCs w:val="21"/>
                <w:lang w:val="en-US" w:eastAsia="zh-CN"/>
              </w:rPr>
              <w:t>46</w:t>
            </w:r>
            <w:r>
              <w:rPr>
                <w:rFonts w:hint="eastAsia"/>
                <w:color w:val="000000" w:themeColor="text1"/>
                <w:szCs w:val="21"/>
              </w:rPr>
              <w:t>人</w:t>
            </w:r>
            <w:r>
              <w:rPr>
                <w:rFonts w:hint="eastAsia"/>
                <w:color w:val="000000" w:themeColor="text1"/>
                <w:szCs w:val="22"/>
              </w:rPr>
              <w:t>。</w:t>
            </w:r>
            <w:r>
              <w:rPr>
                <w:rFonts w:hint="eastAsia"/>
                <w:color w:val="000000" w:themeColor="text1"/>
                <w:szCs w:val="21"/>
                <w:lang w:val="en-US" w:eastAsia="zh-CN"/>
              </w:rPr>
              <w:t>大专以上（含大专）27人，</w:t>
            </w:r>
            <w:r>
              <w:rPr>
                <w:rFonts w:hint="eastAsia"/>
                <w:color w:val="000000" w:themeColor="text1"/>
                <w:szCs w:val="22"/>
              </w:rPr>
              <w:t>管理人员</w:t>
            </w:r>
            <w:r>
              <w:rPr>
                <w:rFonts w:hint="eastAsia"/>
                <w:color w:val="000000" w:themeColor="text1"/>
                <w:szCs w:val="22"/>
                <w:lang w:val="en-US" w:eastAsia="zh-CN"/>
              </w:rPr>
              <w:t>9</w:t>
            </w:r>
            <w:r>
              <w:rPr>
                <w:rFonts w:hint="eastAsia"/>
                <w:color w:val="000000" w:themeColor="text1"/>
                <w:szCs w:val="22"/>
              </w:rPr>
              <w:t>，作业人员</w:t>
            </w:r>
            <w:r>
              <w:rPr>
                <w:rFonts w:hint="eastAsia"/>
                <w:color w:val="000000" w:themeColor="text1"/>
                <w:szCs w:val="22"/>
                <w:lang w:val="en-US" w:eastAsia="zh-CN"/>
              </w:rPr>
              <w:t>37</w:t>
            </w:r>
            <w:r>
              <w:rPr>
                <w:rFonts w:hint="eastAsia"/>
                <w:color w:val="000000" w:themeColor="text1"/>
                <w:szCs w:val="22"/>
                <w:lang w:eastAsia="zh-CN"/>
              </w:rPr>
              <w:t>，</w:t>
            </w:r>
            <w:r>
              <w:rPr>
                <w:rFonts w:hint="eastAsia"/>
                <w:color w:val="000000" w:themeColor="text1"/>
                <w:szCs w:val="21"/>
              </w:rPr>
              <w:t>从事相同/重复工作人数</w:t>
            </w:r>
            <w:r>
              <w:rPr>
                <w:rFonts w:hint="eastAsia"/>
                <w:color w:val="000000" w:themeColor="text1"/>
                <w:szCs w:val="21"/>
                <w:lang w:val="en-US" w:eastAsia="zh-CN"/>
              </w:rPr>
              <w:t>0</w:t>
            </w:r>
            <w:r>
              <w:rPr>
                <w:rFonts w:hint="eastAsia"/>
                <w:color w:val="000000" w:themeColor="text1"/>
                <w:szCs w:val="21"/>
              </w:rPr>
              <w:t>人；劳务派遣人员0 人；临时工0 人；其中承包商员工数0人；季节工 0 人。</w:t>
            </w:r>
            <w:r>
              <w:rPr>
                <w:rFonts w:hint="eastAsia"/>
                <w:color w:val="000000" w:themeColor="text1"/>
                <w:lang w:val="en-US" w:eastAsia="zh-CN"/>
              </w:rPr>
              <w:t>公司占地面积5100平米，注册资本310.000000万美元，固定资产净值：426.7万元。</w:t>
            </w:r>
          </w:p>
          <w:p>
            <w:pPr>
              <w:ind w:firstLine="420" w:firstLineChars="200"/>
              <w:rPr>
                <w:rFonts w:hint="eastAsia"/>
                <w:color w:val="000000" w:themeColor="text1"/>
                <w:sz w:val="21"/>
                <w:szCs w:val="21"/>
                <w:lang w:val="en-US" w:eastAsia="zh-CN"/>
              </w:rPr>
            </w:pPr>
            <w:r>
              <w:rPr>
                <w:rFonts w:hint="eastAsia"/>
                <w:color w:val="000000" w:themeColor="text1"/>
                <w:szCs w:val="21"/>
              </w:rPr>
              <w:t>总经理：</w:t>
            </w:r>
            <w:r>
              <w:rPr>
                <w:rFonts w:hint="eastAsia"/>
                <w:color w:val="000000" w:themeColor="text1"/>
                <w:szCs w:val="21"/>
                <w:lang w:eastAsia="zh-CN"/>
              </w:rPr>
              <w:t>SHEN CHANG（美籍华人）</w:t>
            </w:r>
            <w:r>
              <w:rPr>
                <w:rFonts w:hint="eastAsia"/>
                <w:color w:val="000000" w:themeColor="text1"/>
                <w:sz w:val="21"/>
                <w:szCs w:val="21"/>
                <w:lang w:val="en-US" w:eastAsia="zh-CN"/>
              </w:rPr>
              <w:t xml:space="preserve"> </w:t>
            </w:r>
          </w:p>
          <w:p>
            <w:pPr>
              <w:widowControl/>
              <w:spacing w:after="0"/>
              <w:ind w:firstLine="420" w:firstLineChars="200"/>
              <w:jc w:val="left"/>
              <w:rPr>
                <w:color w:val="000000" w:themeColor="text1"/>
              </w:rPr>
            </w:pPr>
            <w:r>
              <w:rPr>
                <w:rFonts w:hint="eastAsia"/>
                <w:color w:val="000000" w:themeColor="text1"/>
                <w:szCs w:val="21"/>
              </w:rPr>
              <w:t>公司的组织机构：管理层、</w:t>
            </w:r>
            <w:r>
              <w:rPr>
                <w:rFonts w:hint="eastAsia"/>
                <w:color w:val="000000" w:themeColor="text1"/>
                <w:szCs w:val="21"/>
                <w:lang w:val="en-US" w:eastAsia="zh-CN"/>
              </w:rPr>
              <w:t>管理部</w:t>
            </w:r>
            <w:r>
              <w:rPr>
                <w:rFonts w:hint="eastAsia"/>
                <w:color w:val="000000" w:themeColor="text1"/>
                <w:szCs w:val="21"/>
              </w:rPr>
              <w:t>、生产</w:t>
            </w:r>
            <w:r>
              <w:rPr>
                <w:rFonts w:hint="eastAsia"/>
                <w:color w:val="000000" w:themeColor="text1"/>
                <w:szCs w:val="21"/>
                <w:lang w:val="en-US" w:eastAsia="zh-CN"/>
              </w:rPr>
              <w:t>部</w:t>
            </w:r>
            <w:r>
              <w:rPr>
                <w:rFonts w:hint="eastAsia"/>
                <w:color w:val="000000" w:themeColor="text1"/>
                <w:szCs w:val="21"/>
              </w:rPr>
              <w:t>、</w:t>
            </w:r>
            <w:r>
              <w:rPr>
                <w:rFonts w:hint="eastAsia"/>
                <w:color w:val="000000" w:themeColor="text1"/>
                <w:szCs w:val="21"/>
                <w:lang w:val="en-US" w:eastAsia="zh-CN"/>
              </w:rPr>
              <w:t>销售部</w:t>
            </w:r>
            <w:r>
              <w:rPr>
                <w:rFonts w:hint="eastAsia"/>
                <w:color w:val="000000" w:themeColor="text1"/>
                <w:szCs w:val="21"/>
                <w:lang w:eastAsia="zh-CN"/>
              </w:rPr>
              <w:t>、</w:t>
            </w:r>
            <w:r>
              <w:rPr>
                <w:rFonts w:hint="eastAsia"/>
                <w:color w:val="000000" w:themeColor="text1"/>
                <w:szCs w:val="21"/>
                <w:lang w:val="en-US" w:eastAsia="zh-CN"/>
              </w:rPr>
              <w:t>技术部、采购部</w:t>
            </w:r>
            <w:r>
              <w:rPr>
                <w:rFonts w:hint="eastAsia"/>
                <w:color w:val="000000" w:themeColor="text1"/>
                <w:sz w:val="20"/>
                <w:szCs w:val="22"/>
                <w:lang w:val="en-US" w:eastAsia="zh-CN"/>
              </w:rPr>
              <w:t>等</w:t>
            </w:r>
            <w:r>
              <w:rPr>
                <w:rFonts w:hint="eastAsia"/>
                <w:color w:val="000000" w:themeColor="text1"/>
                <w:sz w:val="20"/>
                <w:szCs w:val="22"/>
              </w:rPr>
              <w:t>。</w:t>
            </w:r>
          </w:p>
          <w:p>
            <w:pPr>
              <w:widowControl/>
              <w:spacing w:after="0"/>
              <w:ind w:firstLine="400" w:firstLineChars="200"/>
              <w:jc w:val="left"/>
              <w:rPr>
                <w:rFonts w:hint="eastAsia" w:eastAsia="宋体"/>
                <w:color w:val="000000" w:themeColor="text1"/>
                <w:sz w:val="20"/>
                <w:szCs w:val="22"/>
                <w:lang w:eastAsia="zh-CN"/>
              </w:rPr>
            </w:pPr>
            <w:r>
              <w:rPr>
                <w:rFonts w:hint="eastAsia"/>
                <w:color w:val="000000" w:themeColor="text1"/>
                <w:sz w:val="20"/>
                <w:szCs w:val="22"/>
              </w:rPr>
              <w:t>企业主要消耗能源种类为电力</w:t>
            </w:r>
            <w:r>
              <w:rPr>
                <w:rFonts w:hint="eastAsia"/>
                <w:color w:val="000000" w:themeColor="text1"/>
                <w:sz w:val="20"/>
                <w:szCs w:val="22"/>
                <w:lang w:eastAsia="zh-CN"/>
              </w:rPr>
              <w:t>、</w:t>
            </w:r>
            <w:r>
              <w:rPr>
                <w:rFonts w:hint="eastAsia"/>
                <w:color w:val="000000" w:themeColor="text1"/>
                <w:sz w:val="20"/>
                <w:szCs w:val="22"/>
                <w:lang w:val="en-US" w:eastAsia="zh-CN"/>
              </w:rPr>
              <w:t>水</w:t>
            </w:r>
            <w:r>
              <w:rPr>
                <w:rFonts w:hint="eastAsia"/>
                <w:color w:val="000000" w:themeColor="text1"/>
                <w:sz w:val="20"/>
                <w:szCs w:val="22"/>
              </w:rPr>
              <w:t>，</w:t>
            </w:r>
            <w:r>
              <w:rPr>
                <w:rFonts w:hint="eastAsia"/>
                <w:color w:val="000000" w:themeColor="text1"/>
                <w:sz w:val="20"/>
                <w:szCs w:val="22"/>
                <w:lang w:val="en-US" w:eastAsia="zh-CN"/>
              </w:rPr>
              <w:t>能源计量器具</w:t>
            </w:r>
            <w:r>
              <w:rPr>
                <w:rFonts w:hint="eastAsia"/>
                <w:color w:val="000000" w:themeColor="text1"/>
                <w:sz w:val="20"/>
                <w:szCs w:val="22"/>
                <w:lang w:eastAsia="zh-CN"/>
              </w:rPr>
              <w:t>，</w:t>
            </w:r>
            <w:r>
              <w:rPr>
                <w:rFonts w:hint="eastAsia"/>
                <w:color w:val="000000" w:themeColor="text1"/>
                <w:sz w:val="20"/>
                <w:szCs w:val="22"/>
                <w:lang w:val="en-US" w:eastAsia="zh-CN"/>
              </w:rPr>
              <w:t>有电表、水表；设备71台套（见A组审核）</w:t>
            </w:r>
            <w:r>
              <w:rPr>
                <w:rFonts w:hint="eastAsia"/>
                <w:color w:val="000000" w:themeColor="text1"/>
                <w:sz w:val="20"/>
                <w:szCs w:val="22"/>
                <w:lang w:eastAsia="zh-CN"/>
              </w:rPr>
              <w:t>。</w:t>
            </w:r>
          </w:p>
          <w:p>
            <w:pPr>
              <w:ind w:firstLine="400" w:firstLineChars="200"/>
              <w:rPr>
                <w:rFonts w:hint="eastAsia"/>
                <w:color w:val="000000" w:themeColor="text1"/>
                <w:sz w:val="20"/>
                <w:lang w:val="en-US" w:eastAsia="zh-CN"/>
              </w:rPr>
            </w:pPr>
            <w:r>
              <w:rPr>
                <w:rFonts w:hint="eastAsia" w:eastAsia="宋体"/>
                <w:color w:val="000000" w:themeColor="text1"/>
                <w:sz w:val="20"/>
                <w:szCs w:val="22"/>
                <w:lang w:val="en-US" w:eastAsia="zh-CN"/>
              </w:rPr>
              <w:t>资源配置能够满足建立、实施、保持和持续改进能源绩效和能源管理体系的有效运行。</w:t>
            </w:r>
          </w:p>
        </w:tc>
        <w:tc>
          <w:tcPr>
            <w:tcW w:w="1213" w:type="dxa"/>
          </w:tcPr>
          <w:p>
            <w:pPr>
              <w:rPr>
                <w:rFonts w:hint="eastAsia" w:eastAsia="宋体"/>
                <w:color w:val="000000" w:themeColor="text1"/>
                <w:lang w:val="en-US" w:eastAsia="zh-CN"/>
              </w:rPr>
            </w:pPr>
            <w:r>
              <w:rPr>
                <w:rFonts w:hint="eastAsia"/>
                <w:color w:val="000000" w:themeColor="text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2160" w:type="dxa"/>
          </w:tcPr>
          <w:p>
            <w:pPr>
              <w:rPr>
                <w:rFonts w:hint="eastAsia" w:ascii="宋体" w:hAnsi="宋体" w:eastAsia="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管理评审</w:t>
            </w:r>
          </w:p>
        </w:tc>
        <w:tc>
          <w:tcPr>
            <w:tcW w:w="960" w:type="dxa"/>
          </w:tcPr>
          <w:p>
            <w:pPr>
              <w:rPr>
                <w:rFonts w:hint="eastAsia" w:ascii="宋体" w:hAnsi="宋体" w:eastAsia="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 xml:space="preserve">9.3 </w:t>
            </w:r>
          </w:p>
        </w:tc>
        <w:tc>
          <w:tcPr>
            <w:tcW w:w="10376" w:type="dxa"/>
          </w:tcPr>
          <w:p>
            <w:pPr>
              <w:ind w:firstLine="420" w:firstLineChars="200"/>
              <w:rPr>
                <w:rFonts w:hint="default"/>
                <w:color w:val="000000" w:themeColor="text1"/>
                <w:sz w:val="21"/>
                <w:szCs w:val="21"/>
                <w:lang w:val="en-US" w:eastAsia="zh-CN"/>
              </w:rPr>
            </w:pPr>
            <w:r>
              <w:rPr>
                <w:rFonts w:hint="eastAsia"/>
                <w:color w:val="000000" w:themeColor="text1"/>
                <w:sz w:val="21"/>
                <w:szCs w:val="21"/>
                <w:lang w:val="en-US" w:eastAsia="zh-CN"/>
              </w:rPr>
              <w:t>提供程序文件《SG/En-CX-05能源评审控制程序》，有编审批，符合标准要求。</w:t>
            </w:r>
          </w:p>
          <w:p>
            <w:pPr>
              <w:ind w:firstLine="420" w:firstLineChars="200"/>
              <w:rPr>
                <w:rFonts w:hint="eastAsia"/>
                <w:color w:val="000000" w:themeColor="text1"/>
                <w:sz w:val="21"/>
                <w:szCs w:val="21"/>
                <w:lang w:val="en-US" w:eastAsia="zh-CN"/>
              </w:rPr>
            </w:pPr>
            <w:r>
              <w:rPr>
                <w:rFonts w:hint="eastAsia"/>
                <w:color w:val="000000" w:themeColor="text1"/>
                <w:sz w:val="21"/>
                <w:szCs w:val="21"/>
                <w:lang w:val="en-US" w:eastAsia="zh-CN"/>
              </w:rPr>
              <w:t>1、公司自能源管理体系运行以来组织了一次管理评审，日期： 2022年4月10日。</w:t>
            </w:r>
          </w:p>
          <w:p>
            <w:pPr>
              <w:ind w:firstLine="420" w:firstLineChars="200"/>
              <w:rPr>
                <w:rFonts w:hint="eastAsia"/>
                <w:color w:val="000000" w:themeColor="text1"/>
                <w:sz w:val="21"/>
                <w:szCs w:val="21"/>
                <w:lang w:val="en-US" w:eastAsia="zh-CN"/>
              </w:rPr>
            </w:pPr>
            <w:r>
              <w:rPr>
                <w:rFonts w:hint="eastAsia"/>
                <w:color w:val="000000" w:themeColor="text1"/>
                <w:sz w:val="21"/>
                <w:szCs w:val="21"/>
                <w:lang w:val="en-US" w:eastAsia="zh-CN"/>
              </w:rPr>
              <w:t>采用会议形式，总经理：</w:t>
            </w:r>
            <w:r>
              <w:rPr>
                <w:rFonts w:hint="eastAsia"/>
                <w:color w:val="000000" w:themeColor="text1"/>
                <w:szCs w:val="21"/>
                <w:lang w:eastAsia="zh-CN"/>
              </w:rPr>
              <w:t>SHEN CHANG（美籍华人）</w:t>
            </w:r>
            <w:r>
              <w:rPr>
                <w:rFonts w:hint="eastAsia"/>
                <w:color w:val="000000" w:themeColor="text1"/>
                <w:sz w:val="21"/>
                <w:szCs w:val="21"/>
                <w:lang w:val="en-US" w:eastAsia="zh-CN"/>
              </w:rPr>
              <w:t>主持会议。</w:t>
            </w:r>
            <w:r>
              <w:rPr>
                <w:rFonts w:hint="eastAsia"/>
                <w:color w:val="000000" w:themeColor="text1"/>
                <w:szCs w:val="21"/>
              </w:rPr>
              <w:t>管理层、</w:t>
            </w:r>
            <w:r>
              <w:rPr>
                <w:rFonts w:hint="eastAsia"/>
                <w:color w:val="000000" w:themeColor="text1"/>
                <w:szCs w:val="21"/>
                <w:lang w:val="en-US" w:eastAsia="zh-CN"/>
              </w:rPr>
              <w:t>管理部</w:t>
            </w:r>
            <w:r>
              <w:rPr>
                <w:rFonts w:hint="eastAsia"/>
                <w:color w:val="000000" w:themeColor="text1"/>
                <w:szCs w:val="21"/>
              </w:rPr>
              <w:t>、生产</w:t>
            </w:r>
            <w:r>
              <w:rPr>
                <w:rFonts w:hint="eastAsia"/>
                <w:color w:val="000000" w:themeColor="text1"/>
                <w:szCs w:val="21"/>
                <w:lang w:val="en-US" w:eastAsia="zh-CN"/>
              </w:rPr>
              <w:t>部</w:t>
            </w:r>
            <w:r>
              <w:rPr>
                <w:rFonts w:hint="eastAsia"/>
                <w:color w:val="000000" w:themeColor="text1"/>
                <w:szCs w:val="21"/>
              </w:rPr>
              <w:t>、</w:t>
            </w:r>
            <w:r>
              <w:rPr>
                <w:rFonts w:hint="eastAsia"/>
                <w:color w:val="000000" w:themeColor="text1"/>
                <w:szCs w:val="21"/>
                <w:lang w:val="en-US" w:eastAsia="zh-CN"/>
              </w:rPr>
              <w:t>销售部</w:t>
            </w:r>
            <w:r>
              <w:rPr>
                <w:rFonts w:hint="eastAsia"/>
                <w:color w:val="000000" w:themeColor="text1"/>
                <w:szCs w:val="21"/>
                <w:lang w:eastAsia="zh-CN"/>
              </w:rPr>
              <w:t>、</w:t>
            </w:r>
            <w:r>
              <w:rPr>
                <w:rFonts w:hint="eastAsia"/>
                <w:color w:val="000000" w:themeColor="text1"/>
                <w:szCs w:val="21"/>
                <w:lang w:val="en-US" w:eastAsia="zh-CN"/>
              </w:rPr>
              <w:t>技术部、采购部负责人均参加</w:t>
            </w:r>
            <w:r>
              <w:rPr>
                <w:rFonts w:hint="eastAsia"/>
                <w:color w:val="000000" w:themeColor="text1"/>
                <w:sz w:val="21"/>
                <w:szCs w:val="21"/>
                <w:lang w:val="en-US" w:eastAsia="zh-CN"/>
              </w:rPr>
              <w:t>。</w:t>
            </w:r>
          </w:p>
          <w:p>
            <w:pPr>
              <w:ind w:firstLine="420" w:firstLineChars="200"/>
              <w:rPr>
                <w:rFonts w:hint="default"/>
                <w:color w:val="000000" w:themeColor="text1"/>
                <w:sz w:val="21"/>
                <w:szCs w:val="21"/>
                <w:lang w:val="en-US" w:eastAsia="zh-CN"/>
              </w:rPr>
            </w:pPr>
            <w:r>
              <w:rPr>
                <w:rFonts w:hint="eastAsia"/>
                <w:color w:val="000000" w:themeColor="text1"/>
                <w:sz w:val="21"/>
                <w:szCs w:val="21"/>
                <w:lang w:val="en-US" w:eastAsia="zh-CN"/>
              </w:rPr>
              <w:t>2、提供：管理评审档案，含  1.管理评审计划、2.管理评审报告、3.签到表、各部门管理评审输入资料，编审批齐全。</w:t>
            </w:r>
          </w:p>
          <w:p>
            <w:pPr>
              <w:ind w:firstLine="420" w:firstLineChars="200"/>
              <w:rPr>
                <w:rFonts w:hint="eastAsia"/>
                <w:color w:val="000000" w:themeColor="text1"/>
                <w:sz w:val="21"/>
                <w:szCs w:val="21"/>
                <w:lang w:val="en-US" w:eastAsia="zh-CN"/>
              </w:rPr>
            </w:pPr>
            <w:r>
              <w:rPr>
                <w:rFonts w:hint="eastAsia"/>
                <w:color w:val="000000" w:themeColor="text1"/>
                <w:sz w:val="21"/>
                <w:szCs w:val="21"/>
                <w:lang w:val="en-US" w:eastAsia="zh-CN"/>
              </w:rPr>
              <w:t>出示“管理评审会议签到表”总经理、中层以上负责人参加并签到；</w:t>
            </w:r>
          </w:p>
          <w:p>
            <w:pPr>
              <w:ind w:firstLine="400" w:firstLineChars="200"/>
              <w:rPr>
                <w:rFonts w:hint="eastAsia"/>
                <w:color w:val="000000" w:themeColor="text1"/>
                <w:sz w:val="20"/>
                <w:lang w:val="en-US" w:eastAsia="zh-CN"/>
              </w:rPr>
            </w:pPr>
            <w:r>
              <w:rPr>
                <w:rFonts w:hint="eastAsia"/>
                <w:color w:val="000000" w:themeColor="text1"/>
                <w:sz w:val="20"/>
                <w:lang w:val="en-US" w:eastAsia="zh-CN"/>
              </w:rPr>
              <w:t>出示“管理评审会议记录”，查评审输入内容包括：</w:t>
            </w:r>
          </w:p>
          <w:p>
            <w:pPr>
              <w:ind w:firstLine="400" w:firstLineChars="200"/>
              <w:rPr>
                <w:rFonts w:hint="eastAsia"/>
                <w:color w:val="000000" w:themeColor="text1"/>
                <w:sz w:val="20"/>
                <w:lang w:val="en-US" w:eastAsia="zh-CN"/>
              </w:rPr>
            </w:pPr>
            <w:r>
              <w:rPr>
                <w:rFonts w:hint="eastAsia"/>
                <w:color w:val="000000" w:themeColor="text1"/>
                <w:sz w:val="20"/>
                <w:lang w:val="en-US" w:eastAsia="zh-CN"/>
              </w:rPr>
              <w:t>3、评审目的：围绕管理方针和目标的贯彻实施，评价能源管理体系的适宜性，充分性和有效性。</w:t>
            </w:r>
          </w:p>
          <w:p>
            <w:pPr>
              <w:ind w:firstLine="400" w:firstLineChars="200"/>
              <w:rPr>
                <w:rFonts w:hint="eastAsia"/>
                <w:color w:val="000000" w:themeColor="text1"/>
                <w:sz w:val="20"/>
                <w:szCs w:val="22"/>
                <w:lang w:val="en-US" w:eastAsia="zh-CN"/>
              </w:rPr>
            </w:pPr>
            <w:r>
              <w:rPr>
                <w:rFonts w:hint="eastAsia"/>
                <w:color w:val="000000" w:themeColor="text1"/>
                <w:sz w:val="20"/>
                <w:szCs w:val="22"/>
                <w:lang w:val="en-US" w:eastAsia="zh-CN"/>
              </w:rPr>
              <w:t>评审组织：主持：总经理，出席：管理者代表、各部门负责人。</w:t>
            </w:r>
          </w:p>
          <w:p>
            <w:pPr>
              <w:ind w:firstLine="400" w:firstLineChars="200"/>
              <w:rPr>
                <w:rFonts w:hint="eastAsia"/>
                <w:color w:val="000000" w:themeColor="text1"/>
                <w:sz w:val="20"/>
                <w:lang w:val="en-US" w:eastAsia="zh-CN"/>
              </w:rPr>
            </w:pPr>
            <w:r>
              <w:rPr>
                <w:rFonts w:hint="eastAsia"/>
                <w:color w:val="000000" w:themeColor="text1"/>
                <w:sz w:val="20"/>
                <w:lang w:val="en-US" w:eastAsia="zh-CN"/>
              </w:rPr>
              <w:t>评审内容：</w:t>
            </w:r>
          </w:p>
          <w:p>
            <w:pPr>
              <w:pStyle w:val="2"/>
              <w:ind w:firstLine="440" w:firstLineChars="200"/>
              <w:rPr>
                <w:rFonts w:hint="eastAsia"/>
                <w:color w:val="000000" w:themeColor="text1"/>
                <w:sz w:val="20"/>
                <w:lang w:val="en-US" w:eastAsia="zh-CN"/>
              </w:rPr>
            </w:pPr>
            <w:r>
              <w:rPr>
                <w:rFonts w:hint="eastAsia"/>
                <w:color w:val="000000" w:themeColor="text1"/>
                <w:sz w:val="20"/>
                <w:lang w:val="en-US" w:eastAsia="zh-CN"/>
              </w:rPr>
              <w:t>1）以往管理评审所采取措施的状况；</w:t>
            </w:r>
          </w:p>
          <w:p>
            <w:pPr>
              <w:pStyle w:val="2"/>
              <w:ind w:firstLine="440" w:firstLineChars="200"/>
              <w:rPr>
                <w:rFonts w:hint="eastAsia"/>
                <w:color w:val="000000" w:themeColor="text1"/>
                <w:sz w:val="20"/>
                <w:lang w:val="en-US" w:eastAsia="zh-CN"/>
              </w:rPr>
            </w:pPr>
            <w:r>
              <w:rPr>
                <w:rFonts w:hint="eastAsia"/>
                <w:color w:val="000000" w:themeColor="text1"/>
                <w:sz w:val="20"/>
                <w:lang w:val="en-US" w:eastAsia="zh-CN"/>
              </w:rPr>
              <w:t>2）与能源管理体系相关的内、外部因素以及相关的风险和机遇的变化；</w:t>
            </w:r>
          </w:p>
          <w:p>
            <w:pPr>
              <w:pStyle w:val="2"/>
              <w:ind w:firstLine="440" w:firstLineChars="200"/>
              <w:rPr>
                <w:rFonts w:hint="eastAsia"/>
                <w:color w:val="000000" w:themeColor="text1"/>
                <w:sz w:val="20"/>
                <w:lang w:val="en-US" w:eastAsia="zh-CN"/>
              </w:rPr>
            </w:pPr>
            <w:r>
              <w:rPr>
                <w:rFonts w:hint="eastAsia"/>
                <w:color w:val="000000" w:themeColor="text1"/>
                <w:sz w:val="20"/>
                <w:lang w:val="en-US" w:eastAsia="zh-CN"/>
              </w:rPr>
              <w:t>3）有关能源管理体系绩效方面的信息，包括其趋势：不符合和纠正措施；监视和测量结果；审核结果；法律法规和其他要求的符合性评价结果。</w:t>
            </w:r>
          </w:p>
          <w:p>
            <w:pPr>
              <w:pStyle w:val="2"/>
              <w:ind w:firstLine="440" w:firstLineChars="200"/>
              <w:rPr>
                <w:rFonts w:hint="eastAsia"/>
                <w:color w:val="000000" w:themeColor="text1"/>
                <w:sz w:val="20"/>
                <w:lang w:val="en-US" w:eastAsia="zh-CN"/>
              </w:rPr>
            </w:pPr>
            <w:r>
              <w:rPr>
                <w:rFonts w:hint="eastAsia"/>
                <w:color w:val="000000" w:themeColor="text1"/>
                <w:sz w:val="20"/>
                <w:lang w:val="en-US" w:eastAsia="zh-CN"/>
              </w:rPr>
              <w:t>4）持续改进的机会，包括人员能力；</w:t>
            </w:r>
          </w:p>
          <w:p>
            <w:pPr>
              <w:pStyle w:val="2"/>
              <w:ind w:firstLine="440" w:firstLineChars="200"/>
              <w:rPr>
                <w:rFonts w:hint="eastAsia"/>
                <w:color w:val="000000" w:themeColor="text1"/>
                <w:sz w:val="20"/>
                <w:lang w:val="en-US" w:eastAsia="zh-CN"/>
              </w:rPr>
            </w:pPr>
            <w:r>
              <w:rPr>
                <w:rFonts w:hint="eastAsia"/>
                <w:color w:val="000000" w:themeColor="text1"/>
                <w:sz w:val="20"/>
                <w:lang w:val="en-US" w:eastAsia="zh-CN"/>
              </w:rPr>
              <w:t>5）能源方针；</w:t>
            </w:r>
          </w:p>
          <w:p>
            <w:pPr>
              <w:pStyle w:val="2"/>
              <w:ind w:firstLine="440" w:firstLineChars="200"/>
              <w:rPr>
                <w:rFonts w:hint="eastAsia"/>
                <w:color w:val="000000" w:themeColor="text1"/>
                <w:sz w:val="20"/>
                <w:lang w:val="en-US" w:eastAsia="zh-CN"/>
              </w:rPr>
            </w:pPr>
            <w:r>
              <w:rPr>
                <w:rFonts w:hint="eastAsia"/>
                <w:color w:val="000000" w:themeColor="text1"/>
                <w:sz w:val="20"/>
                <w:lang w:val="en-US" w:eastAsia="zh-CN"/>
              </w:rPr>
              <w:t>6）能源绩效有关的信息，应包括：目标和能源指标的实现程度；基于监视和测量结果（包括能源绩效参数）的能源绩效和能源绩效改进；措施计划的状况。</w:t>
            </w:r>
          </w:p>
          <w:p>
            <w:pPr>
              <w:pStyle w:val="2"/>
              <w:rPr>
                <w:rFonts w:hint="default" w:ascii="Times New Roman" w:hAnsi="Times New Roman" w:eastAsia="宋体" w:cs="Times New Roman"/>
                <w:bCs w:val="0"/>
                <w:color w:val="000000" w:themeColor="text1"/>
                <w:spacing w:val="0"/>
                <w:kern w:val="2"/>
                <w:sz w:val="20"/>
                <w:szCs w:val="22"/>
                <w:lang w:val="en-US" w:eastAsia="zh-CN" w:bidi="ar-SA"/>
              </w:rPr>
            </w:pPr>
            <w:r>
              <w:rPr>
                <w:rFonts w:hint="eastAsia"/>
                <w:color w:val="000000" w:themeColor="text1"/>
                <w:sz w:val="20"/>
                <w:lang w:val="en-US" w:eastAsia="zh-CN"/>
              </w:rPr>
              <w:t xml:space="preserve">   </w:t>
            </w:r>
            <w:r>
              <w:rPr>
                <w:rFonts w:hint="eastAsia" w:cs="Times New Roman"/>
                <w:bCs w:val="0"/>
                <w:color w:val="000000" w:themeColor="text1"/>
                <w:spacing w:val="0"/>
                <w:kern w:val="2"/>
                <w:sz w:val="20"/>
                <w:szCs w:val="22"/>
                <w:lang w:val="en-US" w:eastAsia="zh-CN" w:bidi="ar-SA"/>
              </w:rPr>
              <w:t>公司</w:t>
            </w:r>
            <w:r>
              <w:rPr>
                <w:rFonts w:hint="eastAsia" w:ascii="Times New Roman" w:hAnsi="Times New Roman" w:eastAsia="宋体" w:cs="Times New Roman"/>
                <w:bCs w:val="0"/>
                <w:color w:val="000000" w:themeColor="text1"/>
                <w:spacing w:val="0"/>
                <w:kern w:val="2"/>
                <w:sz w:val="20"/>
                <w:szCs w:val="22"/>
                <w:lang w:val="en-US" w:eastAsia="zh-CN" w:bidi="ar-SA"/>
              </w:rPr>
              <w:t>以及管理者代表均有输入材料。符合标准要求。</w:t>
            </w:r>
          </w:p>
          <w:p>
            <w:pPr>
              <w:ind w:firstLine="400" w:firstLineChars="200"/>
              <w:rPr>
                <w:rFonts w:hint="eastAsia"/>
                <w:color w:val="000000" w:themeColor="text1"/>
                <w:sz w:val="20"/>
                <w:lang w:val="en-US" w:eastAsia="zh-CN"/>
              </w:rPr>
            </w:pPr>
            <w:r>
              <w:rPr>
                <w:rFonts w:hint="eastAsia"/>
                <w:color w:val="000000" w:themeColor="text1"/>
                <w:sz w:val="20"/>
                <w:lang w:val="en-US" w:eastAsia="zh-CN"/>
              </w:rPr>
              <w:t xml:space="preserve">4、管理评审输出，形成《管理评审报告》编审批齐全 。   </w:t>
            </w:r>
          </w:p>
          <w:p>
            <w:pPr>
              <w:ind w:firstLine="400" w:firstLineChars="200"/>
              <w:rPr>
                <w:rFonts w:hint="eastAsia"/>
                <w:color w:val="000000" w:themeColor="text1"/>
                <w:sz w:val="20"/>
                <w:lang w:val="en-US" w:eastAsia="zh-CN"/>
              </w:rPr>
            </w:pPr>
            <w:r>
              <w:rPr>
                <w:rFonts w:hint="eastAsia"/>
                <w:color w:val="000000" w:themeColor="text1"/>
                <w:sz w:val="20"/>
                <w:lang w:val="en-US" w:eastAsia="zh-CN"/>
              </w:rPr>
              <w:t>管理评审结论：</w:t>
            </w:r>
          </w:p>
          <w:p>
            <w:pPr>
              <w:ind w:firstLine="400" w:firstLineChars="200"/>
              <w:rPr>
                <w:rFonts w:hint="eastAsia"/>
                <w:color w:val="000000" w:themeColor="text1"/>
                <w:sz w:val="20"/>
                <w:lang w:val="en-US" w:eastAsia="zh-CN"/>
              </w:rPr>
            </w:pPr>
            <w:r>
              <w:rPr>
                <w:rFonts w:hint="eastAsia"/>
                <w:color w:val="000000" w:themeColor="text1"/>
                <w:sz w:val="20"/>
                <w:lang w:val="en-US" w:eastAsia="zh-CN"/>
              </w:rPr>
              <w:t>通过上述评审表明，本公司建立的能源管理体系自我完善机制健全；能源管理体系运行良好；建立的能源方针是适宜的不需要进行调整；资源配置方面二、三级计量器具需要补充完善，其他资源充分能够保证体系的正常运行和持续改进。</w:t>
            </w:r>
          </w:p>
          <w:p>
            <w:pPr>
              <w:ind w:firstLine="400" w:firstLineChars="200"/>
              <w:rPr>
                <w:rFonts w:hint="eastAsia"/>
                <w:color w:val="000000" w:themeColor="text1"/>
                <w:sz w:val="20"/>
                <w:lang w:val="en-US" w:eastAsia="zh-CN"/>
              </w:rPr>
            </w:pPr>
            <w:r>
              <w:rPr>
                <w:rFonts w:hint="eastAsia"/>
                <w:color w:val="000000" w:themeColor="text1"/>
                <w:sz w:val="20"/>
                <w:lang w:val="en-US" w:eastAsia="zh-CN"/>
              </w:rPr>
              <w:t>综上所述，本公司建立的能源管理体系是充分、适宜和有效。</w:t>
            </w:r>
          </w:p>
          <w:p>
            <w:pPr>
              <w:ind w:firstLine="400" w:firstLineChars="200"/>
              <w:rPr>
                <w:rFonts w:hint="eastAsia"/>
                <w:color w:val="000000" w:themeColor="text1"/>
                <w:sz w:val="20"/>
                <w:lang w:val="en-US" w:eastAsia="zh-CN"/>
              </w:rPr>
            </w:pPr>
            <w:r>
              <w:rPr>
                <w:rFonts w:hint="eastAsia"/>
                <w:color w:val="000000" w:themeColor="text1"/>
                <w:sz w:val="20"/>
                <w:lang w:val="en-US" w:eastAsia="zh-CN"/>
              </w:rPr>
              <w:t>近期改进的方面：</w:t>
            </w:r>
          </w:p>
          <w:p>
            <w:pPr>
              <w:ind w:firstLine="400" w:firstLineChars="200"/>
              <w:rPr>
                <w:rFonts w:hint="eastAsia"/>
                <w:color w:val="000000" w:themeColor="text1"/>
                <w:sz w:val="20"/>
                <w:lang w:val="en-US" w:eastAsia="zh-CN"/>
              </w:rPr>
            </w:pPr>
            <w:r>
              <w:rPr>
                <w:rFonts w:hint="eastAsia"/>
                <w:color w:val="000000" w:themeColor="text1"/>
                <w:sz w:val="20"/>
                <w:lang w:val="en-US" w:eastAsia="zh-CN"/>
              </w:rPr>
              <w:t>1.各部门及基层员工必须从思想上重视体系的运行，不能只做表面的文章或者应付本公司及认证机构的检查，要切实将体系的运行深入到工作实际中，坚决杜绝“两层皮”现象的发生。</w:t>
            </w:r>
          </w:p>
          <w:p>
            <w:pPr>
              <w:ind w:firstLine="400" w:firstLineChars="200"/>
              <w:rPr>
                <w:rFonts w:hint="eastAsia"/>
                <w:color w:val="000000" w:themeColor="text1"/>
                <w:sz w:val="20"/>
                <w:lang w:val="en-US" w:eastAsia="zh-CN"/>
              </w:rPr>
            </w:pPr>
            <w:r>
              <w:rPr>
                <w:rFonts w:hint="eastAsia"/>
                <w:color w:val="000000" w:themeColor="text1"/>
                <w:sz w:val="20"/>
                <w:lang w:val="en-US" w:eastAsia="zh-CN"/>
              </w:rPr>
              <w:t>2.要充分发挥各部门的作用，加大宣传力度，使全体员工的节能意识不断增强和提高。</w:t>
            </w:r>
          </w:p>
          <w:p>
            <w:pPr>
              <w:ind w:firstLine="400" w:firstLineChars="200"/>
              <w:rPr>
                <w:rFonts w:hint="default"/>
                <w:color w:val="000000" w:themeColor="text1"/>
                <w:sz w:val="20"/>
                <w:lang w:val="en-US" w:eastAsia="zh-CN"/>
              </w:rPr>
            </w:pPr>
            <w:r>
              <w:rPr>
                <w:rFonts w:hint="eastAsia"/>
                <w:color w:val="000000" w:themeColor="text1"/>
                <w:sz w:val="20"/>
                <w:lang w:val="en-US" w:eastAsia="zh-CN"/>
              </w:rPr>
              <w:t>3、各部门要加强对本部室的人员培训力度，包括节能有关的法律法规、能源管理体系文件要求、节能技术、技能操作等方面的培训，不断学习能源管理体系文件，使每个人明确自己的工作职责、操作程序。同时在执行能源管理体系文件的过程中，发现不适合的部分，提出改进意见，以不断提高我本公司的能源管理水平。等7条改进建议。</w:t>
            </w:r>
          </w:p>
          <w:p>
            <w:pPr>
              <w:ind w:firstLine="400" w:firstLineChars="200"/>
              <w:rPr>
                <w:rFonts w:hint="eastAsia"/>
                <w:color w:val="000000" w:themeColor="text1"/>
                <w:sz w:val="20"/>
                <w:lang w:val="en-US" w:eastAsia="zh-CN"/>
              </w:rPr>
            </w:pPr>
            <w:r>
              <w:rPr>
                <w:rFonts w:hint="eastAsia"/>
                <w:color w:val="000000" w:themeColor="text1"/>
                <w:sz w:val="20"/>
                <w:lang w:val="en-US" w:eastAsia="zh-CN"/>
              </w:rPr>
              <w:t>经评审，本公司能源管理体系是适宜的、充分的和有效的。</w:t>
            </w:r>
          </w:p>
        </w:tc>
        <w:tc>
          <w:tcPr>
            <w:tcW w:w="1213" w:type="dxa"/>
          </w:tcPr>
          <w:p>
            <w:pPr>
              <w:rPr>
                <w:rFonts w:hint="eastAsia" w:eastAsia="宋体"/>
                <w:color w:val="000000" w:themeColor="text1"/>
                <w:lang w:val="en-US" w:eastAsia="zh-CN"/>
              </w:rPr>
            </w:pPr>
            <w:r>
              <w:rPr>
                <w:rFonts w:hint="eastAsia"/>
                <w:color w:val="000000" w:themeColor="text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160" w:type="dxa"/>
            <w:vAlign w:val="top"/>
          </w:tcPr>
          <w:p>
            <w:pPr>
              <w:rPr>
                <w:rFonts w:hint="eastAsia" w:ascii="宋体" w:hAnsi="宋体" w:eastAsia="宋体" w:cs="Times New Roman"/>
                <w:color w:val="000000" w:themeColor="text1"/>
                <w:kern w:val="2"/>
                <w:sz w:val="21"/>
                <w:szCs w:val="21"/>
                <w:lang w:val="en-US" w:eastAsia="zh-CN" w:bidi="ar-SA"/>
              </w:rPr>
            </w:pPr>
            <w:r>
              <w:rPr>
                <w:rFonts w:hint="eastAsia" w:ascii="宋体" w:hAnsi="宋体" w:eastAsia="宋体" w:cs="Times New Roman"/>
                <w:color w:val="000000" w:themeColor="text1"/>
                <w:sz w:val="21"/>
                <w:szCs w:val="21"/>
                <w:lang w:val="en-US" w:eastAsia="zh-CN"/>
              </w:rPr>
              <w:t>持续改进</w:t>
            </w:r>
          </w:p>
        </w:tc>
        <w:tc>
          <w:tcPr>
            <w:tcW w:w="960" w:type="dxa"/>
            <w:vAlign w:val="top"/>
          </w:tcPr>
          <w:p>
            <w:pPr>
              <w:rPr>
                <w:rFonts w:hint="eastAsia" w:ascii="宋体" w:hAnsi="宋体" w:eastAsia="宋体" w:cs="Times New Roman"/>
                <w:color w:val="000000" w:themeColor="text1"/>
                <w:kern w:val="2"/>
                <w:sz w:val="21"/>
                <w:szCs w:val="21"/>
                <w:lang w:val="en-US" w:eastAsia="zh-CN" w:bidi="ar-SA"/>
              </w:rPr>
            </w:pPr>
            <w:r>
              <w:rPr>
                <w:rFonts w:hint="eastAsia" w:ascii="宋体" w:hAnsi="宋体" w:eastAsia="宋体" w:cs="Times New Roman"/>
                <w:color w:val="000000" w:themeColor="text1"/>
                <w:sz w:val="21"/>
                <w:szCs w:val="21"/>
                <w:lang w:val="en-US" w:eastAsia="zh-CN"/>
              </w:rPr>
              <w:t xml:space="preserve">10.2 </w:t>
            </w:r>
          </w:p>
        </w:tc>
        <w:tc>
          <w:tcPr>
            <w:tcW w:w="10376" w:type="dxa"/>
            <w:vAlign w:val="top"/>
          </w:tcPr>
          <w:p>
            <w:pPr>
              <w:ind w:firstLine="420" w:firstLineChars="200"/>
              <w:rPr>
                <w:rFonts w:hint="eastAsia"/>
                <w:lang w:val="en-US" w:eastAsia="zh-CN"/>
              </w:rPr>
            </w:pPr>
            <w:r>
              <w:rPr>
                <w:rFonts w:hint="eastAsia"/>
                <w:lang w:val="en-US" w:eastAsia="zh-CN"/>
              </w:rPr>
              <w:t>公司建立了《SLDK/En-CX-22符合、纠正、改进措施程序》，对实际存在的不符合或潜在的不符合采取纠正或改进措施，预防不符合的再次发生。确定了不符合的来源：（1）日常监测和测量中出现的不符合；（2）内、外部相关方的意见和合理建议；（3）内审及管理评审中发现的不符合。规定了不符合的处置方法及纠正措施的制定实施要求，以及日常持续改进活动。</w:t>
            </w:r>
          </w:p>
          <w:p>
            <w:pPr>
              <w:ind w:firstLine="420" w:firstLineChars="200"/>
              <w:rPr>
                <w:rFonts w:hint="eastAsia"/>
                <w:lang w:val="en-US" w:eastAsia="zh-CN"/>
              </w:rPr>
            </w:pPr>
            <w:r>
              <w:rPr>
                <w:rFonts w:hint="eastAsia"/>
                <w:lang w:val="en-US" w:eastAsia="zh-CN"/>
              </w:rPr>
              <w:t>公司通过日常管理与检查、内审、管理评审等过程的控制实现持续改进。符合标准要求。</w:t>
            </w:r>
          </w:p>
          <w:p>
            <w:pPr>
              <w:ind w:firstLine="420" w:firstLineChars="200"/>
              <w:rPr>
                <w:rFonts w:hint="default"/>
                <w:lang w:val="en-US" w:eastAsia="zh-CN"/>
              </w:rPr>
            </w:pPr>
            <w:r>
              <w:rPr>
                <w:rFonts w:hint="eastAsia"/>
                <w:lang w:val="en-US" w:eastAsia="zh-CN"/>
              </w:rPr>
              <w:t>提供公司能源管理评审报告：</w:t>
            </w:r>
          </w:p>
          <w:p>
            <w:pPr>
              <w:ind w:firstLine="420" w:firstLineChars="200"/>
              <w:rPr>
                <w:rFonts w:hint="eastAsia"/>
                <w:lang w:val="en-US" w:eastAsia="zh-CN"/>
              </w:rPr>
            </w:pPr>
            <w:r>
              <w:rPr>
                <w:rFonts w:hint="eastAsia"/>
                <w:lang w:val="en-US" w:eastAsia="zh-CN"/>
              </w:rPr>
              <w:t>近期改进的方面：</w:t>
            </w:r>
          </w:p>
          <w:p>
            <w:pPr>
              <w:ind w:firstLine="420" w:firstLineChars="200"/>
              <w:rPr>
                <w:rFonts w:hint="eastAsia"/>
                <w:lang w:val="en-US" w:eastAsia="zh-CN"/>
              </w:rPr>
            </w:pPr>
            <w:r>
              <w:rPr>
                <w:rFonts w:hint="eastAsia"/>
                <w:lang w:val="en-US" w:eastAsia="zh-CN"/>
              </w:rPr>
              <w:t>1.各部门及基层员工必须从思想上重视体系的运行，不能只做表面的文章或者应付本公司及认证机构的检查，要切实将体系的运行深入到工作实际中，坚决杜绝“两层皮”现象的发生。</w:t>
            </w:r>
          </w:p>
          <w:p>
            <w:pPr>
              <w:ind w:firstLine="420" w:firstLineChars="200"/>
              <w:rPr>
                <w:rFonts w:hint="eastAsia"/>
                <w:lang w:val="en-US" w:eastAsia="zh-CN"/>
              </w:rPr>
            </w:pPr>
            <w:r>
              <w:rPr>
                <w:rFonts w:hint="eastAsia"/>
                <w:lang w:val="en-US" w:eastAsia="zh-CN"/>
              </w:rPr>
              <w:t>2.要充分发挥各部门的作用，加大宣传力度，使全体员工的节能意识不断增强和提高。</w:t>
            </w:r>
          </w:p>
          <w:p>
            <w:pPr>
              <w:ind w:firstLine="420" w:firstLineChars="200"/>
              <w:rPr>
                <w:rFonts w:hint="eastAsia"/>
                <w:lang w:val="en-US" w:eastAsia="zh-CN"/>
              </w:rPr>
            </w:pPr>
            <w:r>
              <w:rPr>
                <w:rFonts w:hint="eastAsia"/>
                <w:lang w:val="en-US" w:eastAsia="zh-CN"/>
              </w:rPr>
              <w:t>3、各部门要加强对本部室的人员培训力度，包括节能有关的法律法规、能源管理体系文件要求、节能技术、技能操作等方面的培训，不断学习能源管理体系文件，使每个人明确自己的工作职责、操作程序。同时在执行能源管理体系文件的过程中，发现不适合的部分，提出改进意见，以不断提高我本公司的能源管理水平。</w:t>
            </w:r>
          </w:p>
          <w:p>
            <w:pPr>
              <w:ind w:firstLine="420" w:firstLineChars="200"/>
              <w:rPr>
                <w:rFonts w:hint="eastAsia"/>
                <w:lang w:val="en-US" w:eastAsia="zh-CN"/>
              </w:rPr>
            </w:pPr>
            <w:r>
              <w:rPr>
                <w:rFonts w:hint="eastAsia"/>
                <w:lang w:val="en-US" w:eastAsia="zh-CN"/>
              </w:rPr>
              <w:t>4、各层级的人员要加大监督、检查的工作力度，对工作中存在的问题或隐患及时指出，通过纠正措施和预防措施的制定和实施，防止问题再发生或发生。</w:t>
            </w:r>
          </w:p>
          <w:p>
            <w:pPr>
              <w:ind w:firstLine="420" w:firstLineChars="200"/>
              <w:rPr>
                <w:rFonts w:hint="eastAsia"/>
                <w:lang w:val="en-US" w:eastAsia="zh-CN"/>
              </w:rPr>
            </w:pPr>
            <w:r>
              <w:rPr>
                <w:rFonts w:hint="eastAsia"/>
                <w:lang w:val="en-US" w:eastAsia="zh-CN"/>
              </w:rPr>
              <w:t>5、本公司各职能部门的人员要尽快熟悉、了解本公司能源管理体系要求，提升自身的业务能，强化指导、监督、服务职能，在管理、指导和监督的方面发挥作用，真正为一线、二线队组提供良好的业务指导和服务，保障管理体系的有效运行。</w:t>
            </w:r>
          </w:p>
          <w:p>
            <w:pPr>
              <w:ind w:firstLine="420" w:firstLineChars="200"/>
              <w:rPr>
                <w:rFonts w:hint="eastAsia"/>
                <w:lang w:val="en-US" w:eastAsia="zh-CN"/>
              </w:rPr>
            </w:pPr>
            <w:r>
              <w:rPr>
                <w:rFonts w:hint="eastAsia"/>
                <w:lang w:val="en-US" w:eastAsia="zh-CN"/>
              </w:rPr>
              <w:t>6、各部门应指定专门人员负责本部室的体系运行的指导和监督，并要求全员参与，在最短的时间内，使本部室人员能够熟悉能源管理体系要求，严格各项规范制度的实施，确保本公司的节能目标能够实现。</w:t>
            </w:r>
          </w:p>
          <w:p>
            <w:pPr>
              <w:ind w:firstLine="420" w:firstLineChars="200"/>
              <w:rPr>
                <w:rFonts w:hint="eastAsia"/>
                <w:lang w:val="en-US" w:eastAsia="zh-CN"/>
              </w:rPr>
            </w:pPr>
            <w:r>
              <w:rPr>
                <w:rFonts w:hint="eastAsia"/>
                <w:lang w:val="en-US" w:eastAsia="zh-CN"/>
              </w:rPr>
              <w:t>7、进一步做好目标、指标及体系运行的的考核工作，将节能目标和体系运行的考核纳入本公司总体绩效考核中，为实现本公司的节能总的目标提供保证。</w:t>
            </w:r>
          </w:p>
          <w:p>
            <w:pPr>
              <w:pStyle w:val="2"/>
              <w:rPr>
                <w:rFonts w:hint="default"/>
                <w:lang w:val="en-US" w:eastAsia="zh-CN"/>
              </w:rPr>
            </w:pPr>
          </w:p>
        </w:tc>
        <w:tc>
          <w:tcPr>
            <w:tcW w:w="1213" w:type="dxa"/>
          </w:tcPr>
          <w:p>
            <w:pPr>
              <w:rPr>
                <w:rFonts w:hint="eastAsia" w:eastAsia="宋体"/>
                <w:color w:val="000000" w:themeColor="text1"/>
                <w:lang w:val="en-US" w:eastAsia="zh-CN"/>
              </w:rPr>
            </w:pPr>
            <w:r>
              <w:rPr>
                <w:rFonts w:hint="eastAsia"/>
                <w:color w:val="000000" w:themeColor="text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2160" w:type="dxa"/>
            <w:vAlign w:val="top"/>
          </w:tcPr>
          <w:p>
            <w:pPr>
              <w:rPr>
                <w:rFonts w:hint="eastAsia" w:cs="Times New Roman" w:asciiTheme="minorEastAsia" w:hAnsiTheme="minorEastAsia" w:eastAsiaTheme="minorEastAsia"/>
                <w:color w:val="000000" w:themeColor="text1"/>
                <w:kern w:val="2"/>
                <w:sz w:val="21"/>
                <w:szCs w:val="21"/>
                <w:lang w:val="en-US" w:eastAsia="zh-CN" w:bidi="ar-SA"/>
              </w:rPr>
            </w:pPr>
            <w:r>
              <w:rPr>
                <w:rFonts w:hint="eastAsia" w:asciiTheme="minorEastAsia" w:hAnsiTheme="minorEastAsia" w:eastAsiaTheme="minorEastAsia"/>
                <w:color w:val="000000" w:themeColor="text1"/>
                <w:szCs w:val="21"/>
              </w:rPr>
              <w:t>对一阶段问题整改情况的确认</w:t>
            </w:r>
          </w:p>
        </w:tc>
        <w:tc>
          <w:tcPr>
            <w:tcW w:w="960" w:type="dxa"/>
            <w:vAlign w:val="top"/>
          </w:tcPr>
          <w:p>
            <w:pPr>
              <w:rPr>
                <w:rFonts w:hint="eastAsia" w:cs="Times New Roman" w:asciiTheme="minorEastAsia" w:hAnsiTheme="minorEastAsia" w:eastAsiaTheme="minorEastAsia"/>
                <w:color w:val="000000" w:themeColor="text1"/>
                <w:kern w:val="2"/>
                <w:sz w:val="21"/>
                <w:szCs w:val="21"/>
                <w:lang w:val="en-US" w:eastAsia="zh-CN" w:bidi="ar-SA"/>
              </w:rPr>
            </w:pPr>
          </w:p>
        </w:tc>
        <w:tc>
          <w:tcPr>
            <w:tcW w:w="10376" w:type="dxa"/>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一阶段问题：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1、提供的《适用的法律法规和其他要求清单》：未能将RB∕T 101-2013《能源管理体系 电子信息企业认证要求》标准进行收集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2、能源评审报告内容不全，需完善。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3、在《能源管理体系管理手册》“封面”“能源管理手册发布令”中缺少对认证标准《RB∕T101-2013 能源管理体系 电子信息企业认证要求》的描述</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4、未能提供《岗位职责与任职要求》，二阶段已提供。</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5、《能源管理体系管理手册》中页眉中描述的生效日期：2021年5月16日，而封面发布实施日期：2022年1月16日。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6、附录1能源管理体系公司机构图、附录2能源管理体系职责分配表，描述的与公司能源管理实际不符。</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在二阶段审核前问题均进行沟通。</w:t>
            </w:r>
          </w:p>
          <w:p>
            <w:pPr>
              <w:pStyle w:val="2"/>
              <w:rPr>
                <w:rFonts w:hint="eastAsia" w:asciiTheme="minorEastAsia" w:hAnsiTheme="minorEastAsia" w:eastAsiaTheme="minorEastAsia"/>
                <w:color w:val="000000" w:themeColor="text1"/>
                <w:szCs w:val="21"/>
              </w:rPr>
            </w:pPr>
          </w:p>
          <w:p>
            <w:pPr>
              <w:pStyle w:val="2"/>
              <w:rPr>
                <w:rFonts w:hint="eastAsia" w:asciiTheme="minorEastAsia" w:hAnsiTheme="minorEastAsia" w:eastAsiaTheme="minorEastAsia"/>
                <w:color w:val="000000" w:themeColor="text1"/>
                <w:szCs w:val="21"/>
                <w:lang w:val="en-US" w:eastAsia="zh-CN"/>
              </w:rPr>
            </w:pPr>
          </w:p>
        </w:tc>
        <w:tc>
          <w:tcPr>
            <w:tcW w:w="1213" w:type="dxa"/>
          </w:tcPr>
          <w:p>
            <w:pPr>
              <w:rPr>
                <w:rFonts w:hint="eastAsia" w:eastAsia="宋体"/>
                <w:color w:val="000000" w:themeColor="text1"/>
                <w:lang w:val="en-US" w:eastAsia="zh-CN"/>
              </w:rPr>
            </w:pPr>
            <w:r>
              <w:rPr>
                <w:rFonts w:hint="eastAsia"/>
                <w:color w:val="000000" w:themeColor="text1"/>
                <w:lang w:val="en-US" w:eastAsia="zh-CN"/>
              </w:rPr>
              <w:t>Y</w:t>
            </w:r>
          </w:p>
        </w:tc>
      </w:tr>
    </w:tbl>
    <w:p>
      <w:pPr>
        <w:pStyle w:val="5"/>
        <w:rPr>
          <w:rFonts w:hint="eastAsia"/>
          <w:color w:val="000000" w:themeColor="text1"/>
        </w:rPr>
      </w:pPr>
      <w:r>
        <w:rPr>
          <w:rFonts w:hint="eastAsia"/>
          <w:color w:val="000000" w:themeColor="text1"/>
        </w:rPr>
        <w:t>说明：不符合标注N</w:t>
      </w:r>
    </w:p>
    <w:p>
      <w:pPr>
        <w:pStyle w:val="5"/>
        <w:rPr>
          <w:rFonts w:hint="eastAsia"/>
          <w:color w:val="000000" w:themeColor="text1"/>
        </w:rPr>
      </w:pPr>
    </w:p>
    <w:p>
      <w:pPr>
        <w:pStyle w:val="5"/>
        <w:rPr>
          <w:rFonts w:hint="eastAsia"/>
          <w:color w:val="000000" w:themeColor="text1"/>
        </w:rPr>
      </w:pPr>
    </w:p>
    <w:p>
      <w:pPr>
        <w:pStyle w:val="5"/>
        <w:rPr>
          <w:rFonts w:hint="eastAsia"/>
          <w:color w:val="000000" w:themeColor="text1"/>
        </w:rPr>
      </w:pPr>
    </w:p>
    <w:p>
      <w:pPr>
        <w:pStyle w:val="5"/>
        <w:rPr>
          <w:rFonts w:hint="eastAsia"/>
          <w:color w:val="000000" w:themeColor="text1"/>
        </w:rPr>
      </w:pPr>
    </w:p>
    <w:p>
      <w:pPr>
        <w:pStyle w:val="5"/>
        <w:rPr>
          <w:rFonts w:hint="eastAsia"/>
          <w:color w:val="000000" w:themeColor="text1"/>
        </w:rPr>
      </w:pPr>
    </w:p>
    <w:p>
      <w:pPr>
        <w:pStyle w:val="5"/>
        <w:rPr>
          <w:rFonts w:hint="eastAsia"/>
          <w:color w:val="000000" w:themeColor="text1"/>
        </w:rPr>
      </w:pPr>
    </w:p>
    <w:p>
      <w:pPr>
        <w:pStyle w:val="5"/>
        <w:rPr>
          <w:rFonts w:hint="eastAsia"/>
          <w:color w:val="000000" w:themeColor="text1"/>
        </w:rPr>
      </w:pPr>
    </w:p>
    <w:p>
      <w:pPr>
        <w:spacing w:line="480" w:lineRule="exact"/>
        <w:jc w:val="center"/>
        <w:rPr>
          <w:rFonts w:ascii="隶书" w:hAnsi="宋体" w:eastAsia="隶书"/>
          <w:bCs/>
          <w:color w:val="000000" w:themeColor="text1"/>
          <w:sz w:val="36"/>
          <w:szCs w:val="36"/>
          <w14:textFill>
            <w14:solidFill>
              <w14:schemeClr w14:val="tx1"/>
            </w14:solidFill>
          </w14:textFill>
        </w:rPr>
      </w:pPr>
      <w:r>
        <w:rPr>
          <w:rFonts w:hint="eastAsia" w:ascii="隶书" w:hAnsi="宋体" w:eastAsia="隶书"/>
          <w:bCs/>
          <w:color w:val="000000" w:themeColor="text1"/>
          <w:sz w:val="36"/>
          <w:szCs w:val="36"/>
          <w14:textFill>
            <w14:solidFill>
              <w14:schemeClr w14:val="tx1"/>
            </w14:solidFill>
          </w14:textFill>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76"/>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过程与活动、</w:t>
            </w:r>
          </w:p>
          <w:p>
            <w:pPr>
              <w:jc w:val="center"/>
              <w:rPr>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抽样计划</w:t>
            </w:r>
          </w:p>
        </w:tc>
        <w:tc>
          <w:tcPr>
            <w:tcW w:w="960" w:type="dxa"/>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涉及</w:t>
            </w:r>
          </w:p>
          <w:p>
            <w:pPr>
              <w:jc w:val="center"/>
              <w:rPr>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条款</w:t>
            </w:r>
          </w:p>
        </w:tc>
        <w:tc>
          <w:tcPr>
            <w:tcW w:w="10376" w:type="dxa"/>
            <w:vAlign w:val="center"/>
          </w:tcPr>
          <w:p>
            <w:pPr>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 xml:space="preserve">受审核部门：销售部    主管领导：帅婷婷    </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陪同人员： </w:t>
            </w:r>
            <w:r>
              <w:rPr>
                <w:rFonts w:hint="eastAsia"/>
                <w:color w:val="000000" w:themeColor="text1"/>
                <w:szCs w:val="21"/>
                <w:lang w:val="en-US" w:eastAsia="zh-CN"/>
                <w14:textFill>
                  <w14:solidFill>
                    <w14:schemeClr w14:val="tx1"/>
                  </w14:solidFill>
                </w14:textFill>
              </w:rPr>
              <w:t>陈明</w:t>
            </w:r>
          </w:p>
        </w:tc>
        <w:tc>
          <w:tcPr>
            <w:tcW w:w="1213" w:type="dxa"/>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000000" w:themeColor="text1"/>
                <w14:textFill>
                  <w14:solidFill>
                    <w14:schemeClr w14:val="tx1"/>
                  </w14:solidFill>
                </w14:textFill>
              </w:rPr>
            </w:pPr>
          </w:p>
        </w:tc>
        <w:tc>
          <w:tcPr>
            <w:tcW w:w="960" w:type="dxa"/>
            <w:vMerge w:val="continue"/>
            <w:vAlign w:val="center"/>
          </w:tcPr>
          <w:p>
            <w:pPr>
              <w:rPr>
                <w:color w:val="000000" w:themeColor="text1"/>
                <w14:textFill>
                  <w14:solidFill>
                    <w14:schemeClr w14:val="tx1"/>
                  </w14:solidFill>
                </w14:textFill>
              </w:rPr>
            </w:pPr>
          </w:p>
        </w:tc>
        <w:tc>
          <w:tcPr>
            <w:tcW w:w="10376" w:type="dxa"/>
            <w:vAlign w:val="center"/>
          </w:tcPr>
          <w:p>
            <w:pPr>
              <w:rPr>
                <w:rFonts w:hint="default"/>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 xml:space="preserve">审核员：王宁敏       审核时间：2022.8.14  </w:t>
            </w:r>
            <w:r>
              <w:rPr>
                <w:rFonts w:hint="eastAsia" w:ascii="宋体" w:hAnsi="宋体"/>
                <w:b/>
                <w:bCs/>
                <w:color w:val="000000" w:themeColor="text1"/>
                <w:sz w:val="21"/>
                <w:szCs w:val="21"/>
                <w:lang w:val="en-US" w:eastAsia="zh-CN"/>
                <w14:textFill>
                  <w14:solidFill>
                    <w14:schemeClr w14:val="tx1"/>
                  </w14:solidFill>
                </w14:textFill>
              </w:rPr>
              <w:t>13</w:t>
            </w:r>
            <w:r>
              <w:rPr>
                <w:rFonts w:hint="eastAsia" w:ascii="宋体" w:hAnsi="宋体"/>
                <w:b/>
                <w:bCs/>
                <w:color w:val="000000" w:themeColor="text1"/>
                <w:sz w:val="21"/>
                <w:szCs w:val="21"/>
                <w14:textFill>
                  <w14:solidFill>
                    <w14:schemeClr w14:val="tx1"/>
                  </w14:solidFill>
                </w14:textFill>
              </w:rPr>
              <w:t>:</w:t>
            </w:r>
            <w:r>
              <w:rPr>
                <w:rFonts w:hint="eastAsia" w:ascii="宋体" w:hAnsi="宋体"/>
                <w:b/>
                <w:bCs/>
                <w:color w:val="000000" w:themeColor="text1"/>
                <w:sz w:val="21"/>
                <w:szCs w:val="21"/>
                <w:lang w:val="en-US" w:eastAsia="zh-CN"/>
                <w14:textFill>
                  <w14:solidFill>
                    <w14:schemeClr w14:val="tx1"/>
                  </w14:solidFill>
                </w14:textFill>
              </w:rPr>
              <w:t>00-17:00。</w:t>
            </w:r>
          </w:p>
        </w:tc>
        <w:tc>
          <w:tcPr>
            <w:tcW w:w="1213" w:type="dxa"/>
            <w:vMerge w:val="continue"/>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000000" w:themeColor="text1"/>
                <w14:textFill>
                  <w14:solidFill>
                    <w14:schemeClr w14:val="tx1"/>
                  </w14:solidFill>
                </w14:textFill>
              </w:rPr>
            </w:pPr>
          </w:p>
        </w:tc>
        <w:tc>
          <w:tcPr>
            <w:tcW w:w="960" w:type="dxa"/>
            <w:vMerge w:val="continue"/>
            <w:vAlign w:val="center"/>
          </w:tcPr>
          <w:p>
            <w:pPr>
              <w:rPr>
                <w:color w:val="000000" w:themeColor="text1"/>
                <w14:textFill>
                  <w14:solidFill>
                    <w14:schemeClr w14:val="tx1"/>
                  </w14:solidFill>
                </w14:textFill>
              </w:rPr>
            </w:pPr>
          </w:p>
        </w:tc>
        <w:tc>
          <w:tcPr>
            <w:tcW w:w="10376" w:type="dxa"/>
            <w:vAlign w:val="center"/>
          </w:tcPr>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审核条款：EnMS:5.3/6.2/8.1/10.1</w:t>
            </w:r>
          </w:p>
        </w:tc>
        <w:tc>
          <w:tcPr>
            <w:tcW w:w="1213" w:type="dxa"/>
            <w:vMerge w:val="continue"/>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0" w:hRule="atLeast"/>
        </w:trPr>
        <w:tc>
          <w:tcPr>
            <w:tcW w:w="2160" w:type="dxa"/>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Chars="0"/>
              <w:jc w:val="left"/>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1.组织的岗位、职责和权限，</w:t>
            </w:r>
          </w:p>
          <w:p>
            <w:pPr>
              <w:pStyle w:val="7"/>
              <w:ind w:left="0" w:leftChars="0"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2.目标、能源指及其实现的策划</w:t>
            </w:r>
          </w:p>
        </w:tc>
        <w:tc>
          <w:tcPr>
            <w:tcW w:w="960"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5.3</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6.2</w:t>
            </w:r>
          </w:p>
          <w:p>
            <w:pPr>
              <w:pStyle w:val="2"/>
              <w:rPr>
                <w:rFonts w:hint="eastAsia" w:ascii="宋体" w:hAnsi="宋体" w:eastAsia="宋体" w:cs="Times New Roman"/>
                <w:color w:val="000000" w:themeColor="text1"/>
                <w:sz w:val="21"/>
                <w:szCs w:val="21"/>
                <w14:textFill>
                  <w14:solidFill>
                    <w14:schemeClr w14:val="tx1"/>
                  </w14:solidFill>
                </w14:textFill>
              </w:rPr>
            </w:pPr>
          </w:p>
          <w:p>
            <w:pPr>
              <w:pStyle w:val="2"/>
              <w:rPr>
                <w:rFonts w:hint="eastAsia" w:ascii="宋体" w:hAnsi="宋体" w:eastAsia="宋体" w:cs="Times New Roman"/>
                <w:color w:val="000000" w:themeColor="text1"/>
                <w:sz w:val="21"/>
                <w:szCs w:val="21"/>
                <w14:textFill>
                  <w14:solidFill>
                    <w14:schemeClr w14:val="tx1"/>
                  </w14:solidFill>
                </w14:textFill>
              </w:rPr>
            </w:pPr>
          </w:p>
          <w:p>
            <w:pPr>
              <w:pStyle w:val="2"/>
              <w:rPr>
                <w:rFonts w:hint="eastAsia" w:ascii="宋体" w:hAnsi="宋体" w:eastAsia="宋体" w:cs="Times New Roman"/>
                <w:color w:val="000000" w:themeColor="text1"/>
                <w:sz w:val="21"/>
                <w:szCs w:val="21"/>
                <w14:textFill>
                  <w14:solidFill>
                    <w14:schemeClr w14:val="tx1"/>
                  </w14:solidFill>
                </w14:textFill>
              </w:rPr>
            </w:pPr>
          </w:p>
          <w:p>
            <w:pPr>
              <w:pStyle w:val="2"/>
              <w:rPr>
                <w:rFonts w:hint="eastAsia" w:ascii="宋体" w:hAnsi="宋体" w:eastAsia="宋体" w:cs="Times New Roman"/>
                <w:color w:val="000000" w:themeColor="text1"/>
                <w:sz w:val="21"/>
                <w:szCs w:val="21"/>
                <w14:textFill>
                  <w14:solidFill>
                    <w14:schemeClr w14:val="tx1"/>
                  </w14:solidFill>
                </w14:textFill>
              </w:rPr>
            </w:pPr>
          </w:p>
          <w:p>
            <w:pPr>
              <w:pStyle w:val="2"/>
              <w:rPr>
                <w:rFonts w:hint="eastAsia" w:ascii="宋体" w:hAnsi="宋体" w:eastAsia="宋体" w:cs="Times New Roman"/>
                <w:color w:val="000000" w:themeColor="text1"/>
                <w:sz w:val="21"/>
                <w:szCs w:val="21"/>
                <w14:textFill>
                  <w14:solidFill>
                    <w14:schemeClr w14:val="tx1"/>
                  </w14:solidFill>
                </w14:textFill>
              </w:rPr>
            </w:pPr>
          </w:p>
        </w:tc>
        <w:tc>
          <w:tcPr>
            <w:tcW w:w="10376" w:type="dxa"/>
          </w:tcPr>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提供《SG/En-CX-03目标、指标的制定控制程序》，有编审批，符合标准要求。</w:t>
            </w:r>
          </w:p>
          <w:p>
            <w:pPr>
              <w:ind w:firstLine="42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1、销售部：主管领导：帅婷婷，岗位结构：人数3人 销售部经理  销售专员。</w:t>
            </w:r>
          </w:p>
          <w:p>
            <w:pPr>
              <w:ind w:firstLine="42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销售部职责：&lt;销售&gt;共8条，&lt;销售内勤 &gt;共31条，&lt;售后 &gt;共10条。</w:t>
            </w:r>
          </w:p>
          <w:p>
            <w:pPr>
              <w:ind w:firstLine="42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&lt;销售&gt;负责完成公司下达的市场销售目标；根据公司发展规划和市场情况，主导制定公司营销战略。负责营销计划的编制和落实等</w:t>
            </w:r>
          </w:p>
          <w:p>
            <w:pPr>
              <w:ind w:firstLine="42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&lt;销售内勤 &gt;调查研究国内外市场、客户需求，并作出预测;调查、研究行业动向，收集新产品的信息，把握客户新产品的使用情况；制定及调整中期、整期、半期及月度的销售计划等</w:t>
            </w:r>
          </w:p>
          <w:p>
            <w:pPr>
              <w:ind w:firstLine="42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t;售后&gt;在做好客户售后服务的同时，与财务及销售部门协调、催收余款事宜;与销售部协调，定期拜访客户，了解客户的使用情况和客户的新的要求，并做好客户拜访记录表;与客户交流时，应热情、细心了解设备发生故障时的状况，提出解决问题的方法等</w:t>
            </w:r>
          </w:p>
          <w:p>
            <w:pPr>
              <w:ind w:firstLine="42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2.提供销售部能源管理目标是：</w:t>
            </w:r>
          </w:p>
          <w:p>
            <w:pPr>
              <w:pStyle w:val="2"/>
              <w:rPr>
                <w:rFonts w:hint="default"/>
                <w:lang w:val="en-US" w:eastAsia="zh-CN"/>
              </w:rPr>
            </w:pPr>
            <w:r>
              <w:drawing>
                <wp:inline distT="0" distB="0" distL="114300" distR="114300">
                  <wp:extent cx="5562600" cy="444500"/>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
                          <a:stretch>
                            <a:fillRect/>
                          </a:stretch>
                        </pic:blipFill>
                        <pic:spPr>
                          <a:xfrm>
                            <a:off x="0" y="0"/>
                            <a:ext cx="5562600" cy="444500"/>
                          </a:xfrm>
                          <a:prstGeom prst="rect">
                            <a:avLst/>
                          </a:prstGeom>
                          <a:noFill/>
                          <a:ln>
                            <a:noFill/>
                          </a:ln>
                        </pic:spPr>
                      </pic:pic>
                    </a:graphicData>
                  </a:graphic>
                </wp:inline>
              </w:drawing>
            </w:r>
          </w:p>
          <w:p>
            <w:pPr>
              <w:pStyle w:val="2"/>
              <w:numPr>
                <w:numId w:val="0"/>
              </w:numPr>
              <w:rPr>
                <w:rFonts w:hint="default" w:cs="Times New Roman"/>
                <w:bCs w:val="0"/>
                <w:color w:val="000000" w:themeColor="text1"/>
                <w:spacing w:val="0"/>
                <w:kern w:val="2"/>
                <w:sz w:val="21"/>
                <w:lang w:val="en-US" w:eastAsia="zh-CN" w:bidi="ar-SA"/>
                <w14:textFill>
                  <w14:solidFill>
                    <w14:schemeClr w14:val="tx1"/>
                  </w14:solidFill>
                </w14:textFill>
              </w:rPr>
            </w:pPr>
            <w:r>
              <w:rPr>
                <w:rFonts w:hint="eastAsia" w:cs="Times New Roman"/>
                <w:bCs w:val="0"/>
                <w:color w:val="000000" w:themeColor="text1"/>
                <w:spacing w:val="0"/>
                <w:kern w:val="2"/>
                <w:sz w:val="21"/>
                <w:lang w:val="en-US" w:eastAsia="zh-CN" w:bidi="ar-SA"/>
                <w14:textFill>
                  <w14:solidFill>
                    <w14:schemeClr w14:val="tx1"/>
                  </w14:solidFill>
                </w14:textFill>
              </w:rPr>
              <w:t>完成。</w:t>
            </w:r>
          </w:p>
        </w:tc>
        <w:tc>
          <w:tcPr>
            <w:tcW w:w="1213" w:type="dxa"/>
          </w:tcPr>
          <w:p>
            <w:pPr>
              <w:rPr>
                <w:rFonts w:hint="eastAsia" w:eastAsia="宋体"/>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trPr>
        <w:tc>
          <w:tcPr>
            <w:tcW w:w="2160" w:type="dxa"/>
          </w:tcPr>
          <w:p>
            <w:pPr>
              <w:pStyle w:val="7"/>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3.信息交流</w:t>
            </w:r>
          </w:p>
        </w:tc>
        <w:tc>
          <w:tcPr>
            <w:tcW w:w="960" w:type="dxa"/>
          </w:tcPr>
          <w:p>
            <w:pPr>
              <w:pStyle w:val="2"/>
              <w:rPr>
                <w:rFonts w:hint="eastAsia" w:ascii="宋体" w:hAnsi="宋体" w:eastAsia="宋体" w:cs="Times New Roman"/>
                <w:color w:val="000000" w:themeColor="text1"/>
                <w:sz w:val="21"/>
                <w:szCs w:val="21"/>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7.4</w:t>
            </w:r>
          </w:p>
        </w:tc>
        <w:tc>
          <w:tcPr>
            <w:tcW w:w="10376" w:type="dxa"/>
          </w:tcPr>
          <w:p>
            <w:pPr>
              <w:pStyle w:val="7"/>
              <w:numPr>
                <w:ilvl w:val="0"/>
                <w:numId w:val="0"/>
              </w:numPr>
              <w:ind w:firstLine="420" w:firstLineChars="20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在沟通方面，</w:t>
            </w:r>
            <w:r>
              <w:rPr>
                <w:rFonts w:hint="eastAsia"/>
                <w:color w:val="000000" w:themeColor="text1"/>
                <w:lang w:eastAsia="zh-CN"/>
                <w14:textFill>
                  <w14:solidFill>
                    <w14:schemeClr w14:val="tx1"/>
                  </w14:solidFill>
                </w14:textFill>
              </w:rPr>
              <w:t>《SG/En-CX-08</w:t>
            </w:r>
            <w:r>
              <w:rPr>
                <w:rFonts w:hint="eastAsia"/>
                <w:color w:val="000000" w:themeColor="text1"/>
                <w:lang w:val="en-US" w:eastAsia="zh-CN"/>
                <w14:textFill>
                  <w14:solidFill>
                    <w14:schemeClr w14:val="tx1"/>
                  </w14:solidFill>
                </w14:textFill>
              </w:rPr>
              <w:t>信息沟通程序</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公司均有相应的规定。</w:t>
            </w:r>
          </w:p>
          <w:p>
            <w:pPr>
              <w:numPr>
                <w:ilvl w:val="0"/>
                <w:numId w:val="0"/>
              </w:numPr>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外部信息指有关的法律法规，</w:t>
            </w:r>
            <w:r>
              <w:rPr>
                <w:rFonts w:hint="eastAsia"/>
                <w:color w:val="000000" w:themeColor="text1"/>
                <w:lang w:val="en-US" w:eastAsia="zh-CN"/>
                <w14:textFill>
                  <w14:solidFill>
                    <w14:schemeClr w14:val="tx1"/>
                  </w14:solidFill>
                </w14:textFill>
              </w:rPr>
              <w:t>股东</w:t>
            </w:r>
            <w:r>
              <w:rPr>
                <w:rFonts w:hint="eastAsia"/>
                <w:color w:val="000000" w:themeColor="text1"/>
                <w:lang w:eastAsia="zh-CN"/>
                <w14:textFill>
                  <w14:solidFill>
                    <w14:schemeClr w14:val="tx1"/>
                  </w14:solidFill>
                </w14:textFill>
              </w:rPr>
              <w:t>、顾客、供方及其他相关方的信息,由各部门根据职责分工在公司内部及外部相关方之间进行传递和沟通，主要包括：</w:t>
            </w:r>
          </w:p>
          <w:p>
            <w:pPr>
              <w:numPr>
                <w:ilvl w:val="0"/>
                <w:numId w:val="0"/>
              </w:numPr>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a) 来源于认证机构、节能行政主管部门、节能监察机构及能源监测机构监督、检查或监测的结果及反馈的有关信息；</w:t>
            </w:r>
          </w:p>
          <w:p>
            <w:pPr>
              <w:numPr>
                <w:ilvl w:val="0"/>
                <w:numId w:val="0"/>
              </w:numPr>
              <w:ind w:firstLine="420" w:firstLineChars="200"/>
              <w:rPr>
                <w:rFonts w:hint="eastAsia" w:cs="Times New Roman"/>
                <w:bCs w:val="0"/>
                <w:color w:val="000000" w:themeColor="text1"/>
                <w:spacing w:val="0"/>
                <w:kern w:val="2"/>
                <w:sz w:val="21"/>
                <w:lang w:val="en-US" w:eastAsia="zh-CN" w:bidi="ar-SA"/>
                <w14:textFill>
                  <w14:solidFill>
                    <w14:schemeClr w14:val="tx1"/>
                  </w14:solidFill>
                </w14:textFill>
              </w:rPr>
            </w:pPr>
            <w:r>
              <w:rPr>
                <w:rFonts w:hint="eastAsia"/>
                <w:color w:val="000000" w:themeColor="text1"/>
                <w:lang w:eastAsia="zh-CN"/>
                <w14:textFill>
                  <w14:solidFill>
                    <w14:schemeClr w14:val="tx1"/>
                  </w14:solidFill>
                </w14:textFill>
              </w:rPr>
              <w:t>b) 法律法规、标准类信息；</w:t>
            </w:r>
          </w:p>
        </w:tc>
        <w:tc>
          <w:tcPr>
            <w:tcW w:w="1213" w:type="dxa"/>
          </w:tcPr>
          <w:p>
            <w:pPr>
              <w:rPr>
                <w:rFonts w:hint="eastAsia" w:eastAsia="宋体"/>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4" w:hRule="atLeast"/>
        </w:trPr>
        <w:tc>
          <w:tcPr>
            <w:tcW w:w="2160" w:type="dxa"/>
          </w:tcPr>
          <w:p>
            <w:pPr>
              <w:pStyle w:val="7"/>
              <w:ind w:left="0" w:leftChars="0"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3.信息交流</w:t>
            </w:r>
          </w:p>
        </w:tc>
        <w:tc>
          <w:tcPr>
            <w:tcW w:w="960" w:type="dxa"/>
          </w:tcPr>
          <w:p>
            <w:pPr>
              <w:rPr>
                <w:rFonts w:hint="default"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7.4</w:t>
            </w:r>
          </w:p>
        </w:tc>
        <w:tc>
          <w:tcPr>
            <w:tcW w:w="10376" w:type="dxa"/>
          </w:tcPr>
          <w:p>
            <w:pPr>
              <w:numPr>
                <w:ilvl w:val="0"/>
                <w:numId w:val="0"/>
              </w:numPr>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c) 来源于</w:t>
            </w:r>
            <w:r>
              <w:rPr>
                <w:rFonts w:hint="eastAsia"/>
                <w:color w:val="000000" w:themeColor="text1"/>
                <w:lang w:val="en-US" w:eastAsia="zh-CN"/>
                <w14:textFill>
                  <w14:solidFill>
                    <w14:schemeClr w14:val="tx1"/>
                  </w14:solidFill>
                </w14:textFill>
              </w:rPr>
              <w:t>股东</w:t>
            </w:r>
            <w:r>
              <w:rPr>
                <w:rFonts w:hint="eastAsia"/>
                <w:color w:val="000000" w:themeColor="text1"/>
                <w:lang w:eastAsia="zh-CN"/>
                <w14:textFill>
                  <w14:solidFill>
                    <w14:schemeClr w14:val="tx1"/>
                  </w14:solidFill>
                </w14:textFill>
              </w:rPr>
              <w:t>、顾客、供方及其他相关方的信息。</w:t>
            </w:r>
          </w:p>
          <w:p>
            <w:pPr>
              <w:numPr>
                <w:ilvl w:val="0"/>
                <w:numId w:val="0"/>
              </w:numPr>
              <w:ind w:firstLine="420" w:firstLineChars="20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公司内部建立生产（节能）例会制度，每月召开生产（节能）例会不少</w:t>
            </w:r>
            <w:r>
              <w:rPr>
                <w:rFonts w:hint="eastAsia"/>
                <w:color w:val="000000" w:themeColor="text1"/>
                <w:lang w:val="en-US" w:eastAsia="zh-CN"/>
                <w14:textFill>
                  <w14:solidFill>
                    <w14:schemeClr w14:val="tx1"/>
                  </w14:solidFill>
                </w14:textFill>
              </w:rPr>
              <w:t>一</w:t>
            </w:r>
            <w:r>
              <w:rPr>
                <w:rFonts w:hint="eastAsia"/>
                <w:color w:val="000000" w:themeColor="text1"/>
                <w:lang w:eastAsia="zh-CN"/>
                <w14:textFill>
                  <w14:solidFill>
                    <w14:schemeClr w14:val="tx1"/>
                  </w14:solidFill>
                </w14:textFill>
              </w:rPr>
              <w:t>次。</w:t>
            </w:r>
            <w:r>
              <w:rPr>
                <w:rFonts w:hint="eastAsia"/>
                <w:color w:val="000000" w:themeColor="text1"/>
                <w:lang w:val="en-US" w:eastAsia="zh-CN"/>
                <w14:textFill>
                  <w14:solidFill>
                    <w14:schemeClr w14:val="tx1"/>
                  </w14:solidFill>
                </w14:textFill>
              </w:rPr>
              <w:t>公司沟通还包括：会议、电话、网络、文件、专题会议等。</w:t>
            </w:r>
          </w:p>
          <w:p>
            <w:pPr>
              <w:ind w:firstLine="420" w:firstLineChars="200"/>
              <w:rPr>
                <w:rFonts w:hint="eastAsia" w:cs="Times New Roman"/>
                <w:color w:val="000000" w:themeColor="text1"/>
                <w:kern w:val="2"/>
                <w:sz w:val="21"/>
                <w:szCs w:val="22"/>
                <w:lang w:val="en-US" w:eastAsia="zh-CN" w:bidi="ar-SA"/>
                <w14:textFill>
                  <w14:solidFill>
                    <w14:schemeClr w14:val="tx1"/>
                  </w14:solidFill>
                </w14:textFill>
              </w:rPr>
            </w:pPr>
            <w:r>
              <w:rPr>
                <w:rFonts w:hint="eastAsia"/>
                <w:color w:val="000000" w:themeColor="text1"/>
                <w:lang w:eastAsia="zh-CN"/>
                <w14:textFill>
                  <w14:solidFill>
                    <w14:schemeClr w14:val="tx1"/>
                  </w14:solidFill>
                </w14:textFill>
              </w:rPr>
              <w:t>公司内外部信息沟通保持了畅通。</w:t>
            </w:r>
          </w:p>
        </w:tc>
        <w:tc>
          <w:tcPr>
            <w:tcW w:w="1213" w:type="dxa"/>
          </w:tcPr>
          <w:p>
            <w:pP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160" w:type="dxa"/>
          </w:tcPr>
          <w:p>
            <w:pPr>
              <w:numPr>
                <w:ilvl w:val="0"/>
                <w:numId w:val="0"/>
              </w:num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运行的策划和控制</w:t>
            </w:r>
            <w:r>
              <w:rPr>
                <w:rFonts w:hint="eastAsia"/>
                <w:color w:val="000000" w:themeColor="text1"/>
                <w:lang w:val="en-US" w:eastAsia="zh-CN"/>
                <w14:textFill>
                  <w14:solidFill>
                    <w14:schemeClr w14:val="tx1"/>
                  </w14:solidFill>
                </w14:textFill>
              </w:rPr>
              <w:t>；</w:t>
            </w:r>
          </w:p>
          <w:p>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4.不符合与纠正措施</w:t>
            </w:r>
          </w:p>
        </w:tc>
        <w:tc>
          <w:tcPr>
            <w:tcW w:w="960" w:type="dxa"/>
          </w:tcPr>
          <w:p>
            <w:pP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8.1</w:t>
            </w:r>
            <w:r>
              <w:rPr>
                <w:rFonts w:hint="eastAsia"/>
                <w:color w:val="000000" w:themeColor="text1"/>
                <w:lang w:val="en-US" w:eastAsia="zh-CN"/>
                <w14:textFill>
                  <w14:solidFill>
                    <w14:schemeClr w14:val="tx1"/>
                  </w14:solidFill>
                </w14:textFill>
              </w:rPr>
              <w:t>/</w:t>
            </w:r>
          </w:p>
          <w:p>
            <w:pPr>
              <w:pStyle w:val="2"/>
              <w:rPr>
                <w:rFonts w:hint="default"/>
                <w:color w:val="000000" w:themeColor="text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10.1</w:t>
            </w:r>
          </w:p>
        </w:tc>
        <w:tc>
          <w:tcPr>
            <w:tcW w:w="10376" w:type="dxa"/>
          </w:tcPr>
          <w:p>
            <w:pPr>
              <w:numPr>
                <w:ilvl w:val="0"/>
                <w:numId w:val="0"/>
              </w:numPr>
              <w:ind w:firstLine="42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1、提供</w:t>
            </w:r>
            <w:r>
              <w:rPr>
                <w:rFonts w:hint="eastAsia"/>
                <w:color w:val="000000" w:themeColor="text1"/>
                <w14:textFill>
                  <w14:solidFill>
                    <w14:schemeClr w14:val="tx1"/>
                  </w14:solidFill>
                </w14:textFill>
              </w:rPr>
              <w:t>文件化信息</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《能源管理体系管理手册》</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程序文件清单</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还有《公司节能目标管理责任考核评价制度》《公司节能管理岗位责任制度》《公司节能奖惩管理制度》《公司节约用电管理制度》《公司能源计量管理制度》《公司能源统计管理制度》《公司能源消耗定额管理制度》《公司节能新技术》《新产品推广管理制度》《公司能效对标管理制度》</w:t>
            </w:r>
            <w:r>
              <w:rPr>
                <w:rFonts w:hint="eastAsia"/>
                <w:color w:val="000000" w:themeColor="text1"/>
                <w:szCs w:val="22"/>
                <w:lang w:val="en-US" w:eastAsia="zh-CN"/>
                <w14:textFill>
                  <w14:solidFill>
                    <w14:schemeClr w14:val="tx1"/>
                  </w14:solidFill>
                </w14:textFill>
              </w:rPr>
              <w:t>等，有发布，实施。有编审批。确保了其适宜性和充分性</w:t>
            </w:r>
            <w:r>
              <w:rPr>
                <w:rFonts w:hint="eastAsia"/>
                <w:color w:val="000000" w:themeColor="text1"/>
                <w:lang w:val="en-US" w:eastAsia="zh-CN"/>
                <w14:textFill>
                  <w14:solidFill>
                    <w14:schemeClr w14:val="tx1"/>
                  </w14:solidFill>
                </w14:textFill>
              </w:rPr>
              <w:t>。</w:t>
            </w:r>
          </w:p>
          <w:p>
            <w:pPr>
              <w:pStyle w:val="7"/>
              <w:ind w:left="0" w:leftChars="0" w:firstLine="42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2、关于销售：查阅销售的产量与产值</w:t>
            </w:r>
          </w:p>
          <w:p>
            <w:pPr>
              <w:pStyle w:val="2"/>
              <w:ind w:firstLine="46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2021年度 产量：122940台，产值：5032.4万元。2022上半年 产量：36212台，产值：2280.5万元</w:t>
            </w:r>
          </w:p>
          <w:p>
            <w:pPr>
              <w:pStyle w:val="7"/>
              <w:numPr>
                <w:ilvl w:val="0"/>
                <w:numId w:val="1"/>
              </w:num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抽查“超声波热能表”销售合同， 符合公司相关要求。</w:t>
            </w:r>
          </w:p>
          <w:p>
            <w:pPr>
              <w:numPr>
                <w:ilvl w:val="0"/>
                <w:numId w:val="0"/>
              </w:numPr>
              <w:jc w:val="center"/>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1661160" cy="1851025"/>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1661160" cy="1851025"/>
                          </a:xfrm>
                          <a:prstGeom prst="rect">
                            <a:avLst/>
                          </a:prstGeom>
                          <a:noFill/>
                          <a:ln>
                            <a:noFill/>
                          </a:ln>
                        </pic:spPr>
                      </pic:pic>
                    </a:graphicData>
                  </a:graphic>
                </wp:inline>
              </w:drawing>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drawing>
                <wp:inline distT="0" distB="0" distL="114300" distR="114300">
                  <wp:extent cx="1570990" cy="1837055"/>
                  <wp:effectExtent l="0" t="0" r="381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1570990" cy="1837055"/>
                          </a:xfrm>
                          <a:prstGeom prst="rect">
                            <a:avLst/>
                          </a:prstGeom>
                          <a:noFill/>
                          <a:ln>
                            <a:noFill/>
                          </a:ln>
                        </pic:spPr>
                      </pic:pic>
                    </a:graphicData>
                  </a:graphic>
                </wp:inline>
              </w:drawing>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ind w:firstLine="420" w:firstLineChars="200"/>
              <w:jc w:val="left"/>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本部门要求员工照明灯不用时及时将电源关闭， 电脑不使用时及时将电源关闭，电脑设置休眠功能， 夏天空调设置26度以上。</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ind w:firstLine="420" w:firstLineChars="200"/>
              <w:jc w:val="left"/>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办公区张贴节约用电和节约用水的宣传标识。能够做到人走灯息、空调在26度以上。</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ind w:firstLine="420" w:firstLineChars="200"/>
              <w:jc w:val="left"/>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自公司能源体系运行以来，本部门自能源管理体系运行以来未发生</w:t>
            </w:r>
            <w:r>
              <w:rPr>
                <w:rFonts w:hint="eastAsia"/>
                <w:color w:val="000000" w:themeColor="text1"/>
                <w:sz w:val="21"/>
                <w:szCs w:val="21"/>
                <w:lang w:val="en-US" w:eastAsia="zh-CN"/>
                <w14:textFill>
                  <w14:solidFill>
                    <w14:schemeClr w14:val="tx1"/>
                  </w14:solidFill>
                </w14:textFill>
              </w:rPr>
              <w:t>产品不符合</w:t>
            </w:r>
            <w:r>
              <w:rPr>
                <w:rFonts w:hint="default"/>
                <w:color w:val="000000" w:themeColor="text1"/>
                <w:sz w:val="21"/>
                <w:szCs w:val="21"/>
                <w:lang w:val="en-US" w:eastAsia="zh-CN"/>
                <w14:textFill>
                  <w14:solidFill>
                    <w14:schemeClr w14:val="tx1"/>
                  </w14:solidFill>
                </w14:textFill>
              </w:rPr>
              <w:t>。</w:t>
            </w:r>
          </w:p>
          <w:p>
            <w:pPr>
              <w:pStyle w:val="7"/>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p>
        </w:tc>
        <w:tc>
          <w:tcPr>
            <w:tcW w:w="1213" w:type="dxa"/>
          </w:tcPr>
          <w:p>
            <w:pP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w:t>
            </w:r>
          </w:p>
        </w:tc>
      </w:tr>
    </w:tbl>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说明：不符合标注N</w:t>
      </w:r>
    </w:p>
    <w:p>
      <w:pPr>
        <w:spacing w:line="480" w:lineRule="exact"/>
        <w:jc w:val="center"/>
        <w:rPr>
          <w:rFonts w:ascii="隶书" w:hAnsi="宋体" w:eastAsia="隶书"/>
          <w:bCs/>
          <w:color w:val="000000" w:themeColor="text1"/>
          <w:sz w:val="36"/>
          <w:szCs w:val="36"/>
          <w14:textFill>
            <w14:solidFill>
              <w14:schemeClr w14:val="tx1"/>
            </w14:solidFill>
          </w14:textFill>
        </w:rPr>
      </w:pPr>
      <w:r>
        <w:rPr>
          <w:rFonts w:hint="eastAsia" w:ascii="隶书" w:hAnsi="宋体" w:eastAsia="隶书"/>
          <w:bCs/>
          <w:color w:val="000000" w:themeColor="text1"/>
          <w:sz w:val="36"/>
          <w:szCs w:val="36"/>
          <w14:textFill>
            <w14:solidFill>
              <w14:schemeClr w14:val="tx1"/>
            </w14:solidFill>
          </w14:textFill>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76"/>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160" w:type="dxa"/>
            <w:vMerge w:val="restart"/>
            <w:vAlign w:val="center"/>
          </w:tcPr>
          <w:p>
            <w:pPr>
              <w:numPr>
                <w:ilvl w:val="0"/>
                <w:numId w:val="0"/>
              </w:numPr>
              <w:jc w:val="center"/>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过程与活动、</w:t>
            </w:r>
          </w:p>
          <w:p>
            <w:pPr>
              <w:numPr>
                <w:ilvl w:val="0"/>
                <w:numId w:val="0"/>
              </w:numPr>
              <w:jc w:val="center"/>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抽样计划</w:t>
            </w:r>
          </w:p>
        </w:tc>
        <w:tc>
          <w:tcPr>
            <w:tcW w:w="960" w:type="dxa"/>
            <w:vMerge w:val="restart"/>
            <w:vAlign w:val="center"/>
          </w:tcPr>
          <w:p>
            <w:pPr>
              <w:numPr>
                <w:ilvl w:val="0"/>
                <w:numId w:val="0"/>
              </w:numPr>
              <w:jc w:val="center"/>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涉及</w:t>
            </w:r>
          </w:p>
          <w:p>
            <w:pPr>
              <w:numPr>
                <w:ilvl w:val="0"/>
                <w:numId w:val="0"/>
              </w:numPr>
              <w:jc w:val="center"/>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条款</w:t>
            </w:r>
          </w:p>
        </w:tc>
        <w:tc>
          <w:tcPr>
            <w:tcW w:w="10376" w:type="dxa"/>
            <w:vAlign w:val="center"/>
          </w:tcPr>
          <w:p>
            <w:pPr>
              <w:numPr>
                <w:ilvl w:val="0"/>
                <w:numId w:val="0"/>
              </w:numPr>
              <w:jc w:val="both"/>
              <w:rPr>
                <w:rFonts w:hint="default"/>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 xml:space="preserve">受审核部门：管理部   主管领导：沈静         </w:t>
            </w:r>
            <w:r>
              <w:rPr>
                <w:rFonts w:hint="eastAsia"/>
                <w:color w:val="000000" w:themeColor="text1"/>
                <w:szCs w:val="21"/>
                <w14:textFill>
                  <w14:solidFill>
                    <w14:schemeClr w14:val="tx1"/>
                  </w14:solidFill>
                </w14:textFill>
              </w:rPr>
              <w:t xml:space="preserve">陪同人员： </w:t>
            </w:r>
            <w:r>
              <w:rPr>
                <w:rFonts w:hint="eastAsia"/>
                <w:color w:val="000000" w:themeColor="text1"/>
                <w:szCs w:val="21"/>
                <w:lang w:val="en-US" w:eastAsia="zh-CN"/>
                <w14:textFill>
                  <w14:solidFill>
                    <w14:schemeClr w14:val="tx1"/>
                  </w14:solidFill>
                </w14:textFill>
              </w:rPr>
              <w:t>陈明</w:t>
            </w:r>
          </w:p>
        </w:tc>
        <w:tc>
          <w:tcPr>
            <w:tcW w:w="1213" w:type="dxa"/>
            <w:vMerge w:val="restart"/>
            <w:vAlign w:val="center"/>
          </w:tcPr>
          <w:p>
            <w:pPr>
              <w:numPr>
                <w:ilvl w:val="0"/>
                <w:numId w:val="0"/>
              </w:numPr>
              <w:jc w:val="center"/>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numPr>
                <w:ilvl w:val="0"/>
                <w:numId w:val="0"/>
              </w:numPr>
              <w:jc w:val="center"/>
              <w:rPr>
                <w:rFonts w:hint="eastAsia"/>
                <w:color w:val="000000" w:themeColor="text1"/>
                <w:szCs w:val="22"/>
                <w:lang w:val="en-US" w:eastAsia="zh-CN"/>
                <w14:textFill>
                  <w14:solidFill>
                    <w14:schemeClr w14:val="tx1"/>
                  </w14:solidFill>
                </w14:textFill>
              </w:rPr>
            </w:pPr>
          </w:p>
        </w:tc>
        <w:tc>
          <w:tcPr>
            <w:tcW w:w="960" w:type="dxa"/>
            <w:vMerge w:val="continue"/>
            <w:vAlign w:val="center"/>
          </w:tcPr>
          <w:p>
            <w:pPr>
              <w:numPr>
                <w:ilvl w:val="0"/>
                <w:numId w:val="0"/>
              </w:numPr>
              <w:jc w:val="center"/>
              <w:rPr>
                <w:rFonts w:hint="eastAsia"/>
                <w:color w:val="000000" w:themeColor="text1"/>
                <w:szCs w:val="22"/>
                <w:lang w:val="en-US" w:eastAsia="zh-CN"/>
                <w14:textFill>
                  <w14:solidFill>
                    <w14:schemeClr w14:val="tx1"/>
                  </w14:solidFill>
                </w14:textFill>
              </w:rPr>
            </w:pPr>
          </w:p>
        </w:tc>
        <w:tc>
          <w:tcPr>
            <w:tcW w:w="10376" w:type="dxa"/>
            <w:vAlign w:val="center"/>
          </w:tcPr>
          <w:p>
            <w:pPr>
              <w:numPr>
                <w:ilvl w:val="0"/>
                <w:numId w:val="0"/>
              </w:numPr>
              <w:jc w:val="both"/>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审核员：王宁敏     审核时间：2022年8月15日，</w:t>
            </w:r>
            <w:r>
              <w:rPr>
                <w:rFonts w:hint="eastAsia" w:ascii="宋体" w:hAnsi="宋体"/>
                <w:b/>
                <w:bCs/>
                <w:color w:val="000000" w:themeColor="text1"/>
                <w:sz w:val="21"/>
                <w:szCs w:val="21"/>
                <w:lang w:val="en-US" w:eastAsia="zh-CN"/>
                <w14:textFill>
                  <w14:solidFill>
                    <w14:schemeClr w14:val="tx1"/>
                  </w14:solidFill>
                </w14:textFill>
              </w:rPr>
              <w:t>8:30-16:00（其中12:00-12:30午餐）</w:t>
            </w:r>
          </w:p>
        </w:tc>
        <w:tc>
          <w:tcPr>
            <w:tcW w:w="1213" w:type="dxa"/>
            <w:vMerge w:val="continue"/>
          </w:tcPr>
          <w:p>
            <w:pPr>
              <w:numPr>
                <w:ilvl w:val="0"/>
                <w:numId w:val="0"/>
              </w:numPr>
              <w:jc w:val="center"/>
              <w:rPr>
                <w:rFonts w:hint="eastAsia"/>
                <w:color w:val="000000" w:themeColor="text1"/>
                <w:szCs w:val="2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numPr>
                <w:ilvl w:val="0"/>
                <w:numId w:val="0"/>
              </w:numPr>
              <w:rPr>
                <w:rFonts w:hint="eastAsia"/>
                <w:color w:val="000000" w:themeColor="text1"/>
                <w:szCs w:val="22"/>
                <w:lang w:val="en-US" w:eastAsia="zh-CN"/>
                <w14:textFill>
                  <w14:solidFill>
                    <w14:schemeClr w14:val="tx1"/>
                  </w14:solidFill>
                </w14:textFill>
              </w:rPr>
            </w:pPr>
          </w:p>
        </w:tc>
        <w:tc>
          <w:tcPr>
            <w:tcW w:w="960" w:type="dxa"/>
            <w:vMerge w:val="continue"/>
            <w:vAlign w:val="center"/>
          </w:tcPr>
          <w:p>
            <w:pPr>
              <w:numPr>
                <w:ilvl w:val="0"/>
                <w:numId w:val="0"/>
              </w:numPr>
              <w:rPr>
                <w:rFonts w:hint="eastAsia"/>
                <w:color w:val="000000" w:themeColor="text1"/>
                <w:szCs w:val="22"/>
                <w:lang w:val="en-US" w:eastAsia="zh-CN"/>
                <w14:textFill>
                  <w14:solidFill>
                    <w14:schemeClr w14:val="tx1"/>
                  </w14:solidFill>
                </w14:textFill>
              </w:rPr>
            </w:pPr>
          </w:p>
        </w:tc>
        <w:tc>
          <w:tcPr>
            <w:tcW w:w="10376" w:type="dxa"/>
            <w:vAlign w:val="center"/>
          </w:tcPr>
          <w:p>
            <w:pPr>
              <w:numPr>
                <w:ilvl w:val="0"/>
                <w:numId w:val="0"/>
              </w:numPr>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审核条款：</w:t>
            </w:r>
          </w:p>
          <w:p>
            <w:pPr>
              <w:numPr>
                <w:ilvl w:val="0"/>
                <w:numId w:val="0"/>
              </w:numPr>
              <w:rPr>
                <w:rFonts w:hint="eastAsia"/>
                <w:color w:val="000000" w:themeColor="text1"/>
                <w:szCs w:val="22"/>
                <w:lang w:val="en-US" w:eastAsia="zh-CN"/>
                <w14:textFill>
                  <w14:solidFill>
                    <w14:schemeClr w14:val="tx1"/>
                  </w14:solidFill>
                </w14:textFill>
              </w:rPr>
            </w:pPr>
            <w:r>
              <w:rPr>
                <w:rFonts w:hint="eastAsia" w:eastAsia="宋体"/>
                <w:color w:val="000000" w:themeColor="text1"/>
                <w:szCs w:val="22"/>
                <w:lang w:val="en-US" w:eastAsia="zh-CN"/>
                <w14:textFill>
                  <w14:solidFill>
                    <w14:schemeClr w14:val="tx1"/>
                  </w14:solidFill>
                </w14:textFill>
              </w:rPr>
              <w:t xml:space="preserve">EnMS:5.3/6.1/6.2/7.2/7.3/7.4/7.5/9.2/10.1。  </w:t>
            </w:r>
            <w:r>
              <w:rPr>
                <w:rFonts w:hint="eastAsia"/>
                <w:color w:val="000000" w:themeColor="text1"/>
                <w:szCs w:val="22"/>
                <w:lang w:val="en-US" w:eastAsia="zh-CN"/>
                <w14:textFill>
                  <w14:solidFill>
                    <w14:schemeClr w14:val="tx1"/>
                  </w14:solidFill>
                </w14:textFill>
              </w:rPr>
              <w:t xml:space="preserve"> </w:t>
            </w:r>
          </w:p>
        </w:tc>
        <w:tc>
          <w:tcPr>
            <w:tcW w:w="1213" w:type="dxa"/>
            <w:vMerge w:val="continue"/>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trPr>
        <w:tc>
          <w:tcPr>
            <w:tcW w:w="2160"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能源</w:t>
            </w:r>
            <w:r>
              <w:rPr>
                <w:rFonts w:hint="eastAsia"/>
                <w:color w:val="000000" w:themeColor="text1"/>
                <w14:textFill>
                  <w14:solidFill>
                    <w14:schemeClr w14:val="tx1"/>
                  </w14:solidFill>
                </w14:textFill>
              </w:rPr>
              <w:t>职责、</w:t>
            </w:r>
            <w:r>
              <w:rPr>
                <w:rFonts w:hint="eastAsia"/>
                <w:color w:val="000000" w:themeColor="text1"/>
                <w:lang w:val="en-US" w:eastAsia="zh-CN"/>
                <w14:textFill>
                  <w14:solidFill>
                    <w14:schemeClr w14:val="tx1"/>
                  </w14:solidFill>
                </w14:textFill>
              </w:rPr>
              <w:t>能源</w:t>
            </w:r>
            <w:r>
              <w:rPr>
                <w:rFonts w:hint="eastAsia"/>
                <w:color w:val="000000" w:themeColor="text1"/>
                <w14:textFill>
                  <w14:solidFill>
                    <w14:schemeClr w14:val="tx1"/>
                  </w14:solidFill>
                </w14:textFill>
              </w:rPr>
              <w:t>管理目标及实现措施策划适宜性，履行职责和目标</w:t>
            </w:r>
            <w:r>
              <w:rPr>
                <w:rFonts w:hint="eastAsia"/>
                <w:color w:val="000000" w:themeColor="text1"/>
                <w:lang w:val="en-US" w:eastAsia="zh-CN"/>
                <w14:textFill>
                  <w14:solidFill>
                    <w14:schemeClr w14:val="tx1"/>
                  </w14:solidFill>
                </w14:textFill>
              </w:rPr>
              <w:t>方案</w:t>
            </w:r>
            <w:r>
              <w:rPr>
                <w:rFonts w:hint="eastAsia"/>
                <w:color w:val="000000" w:themeColor="text1"/>
                <w14:textFill>
                  <w14:solidFill>
                    <w14:schemeClr w14:val="tx1"/>
                  </w14:solidFill>
                </w14:textFill>
              </w:rPr>
              <w:t>实现情况；</w:t>
            </w:r>
          </w:p>
          <w:p>
            <w:pPr>
              <w:pStyle w:val="7"/>
              <w:rPr>
                <w:color w:val="000000" w:themeColor="text1"/>
                <w14:textFill>
                  <w14:solidFill>
                    <w14:schemeClr w14:val="tx1"/>
                  </w14:solidFill>
                </w14:textFill>
              </w:rPr>
            </w:pPr>
          </w:p>
        </w:tc>
        <w:tc>
          <w:tcPr>
            <w:tcW w:w="960"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5.3</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6.2</w:t>
            </w: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tc>
        <w:tc>
          <w:tcPr>
            <w:tcW w:w="10376" w:type="dxa"/>
          </w:tcPr>
          <w:p>
            <w:pPr>
              <w:pStyle w:val="7"/>
              <w:numPr>
                <w:ilvl w:val="0"/>
                <w:numId w:val="0"/>
              </w:numPr>
              <w:ind w:leftChars="0" w:firstLine="42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提供《SG/En-CX-03目标、指标的制定控制程序》，有编审批，符合标准要求。</w:t>
            </w:r>
            <w:r>
              <w:rPr>
                <w:rFonts w:hint="eastAsia"/>
                <w:color w:val="000000" w:themeColor="text1"/>
                <w:lang w:val="en-US" w:eastAsia="zh-CN"/>
                <w14:textFill>
                  <w14:solidFill>
                    <w14:schemeClr w14:val="tx1"/>
                  </w14:solidFill>
                </w14:textFill>
              </w:rPr>
              <w:tab/>
            </w:r>
          </w:p>
          <w:p>
            <w:pPr>
              <w:ind w:firstLine="42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一、管理部 主管领导：沈静，共7人。岗位设置：管理部经理、管理部总务室、管理部财务室。</w:t>
            </w:r>
          </w:p>
          <w:p>
            <w:pPr>
              <w:numPr>
                <w:ilvl w:val="0"/>
                <w:numId w:val="0"/>
              </w:numPr>
              <w:ind w:firstLine="42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&lt;管理部总务室&gt;</w:t>
            </w:r>
          </w:p>
          <w:p>
            <w:pPr>
              <w:numPr>
                <w:ilvl w:val="0"/>
                <w:numId w:val="0"/>
              </w:numPr>
              <w:ind w:firstLine="42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负责收发文件及其他通信业务；组织的调查、研究、立案以及统计方面的业务;制定人事制度及各项规定;劳务管理业务;筹划、起草、推进中期、整期、半期及月度的人员计划；办理录用、调动及退职、退休事务手续;</w:t>
            </w:r>
          </w:p>
          <w:p>
            <w:pPr>
              <w:numPr>
                <w:ilvl w:val="0"/>
                <w:numId w:val="0"/>
              </w:num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计划、起草、实施能力开发、公司教育训练计划以及各种提案制度; 社会保险业务;公司车辆 (包括自行车、摩托车)的管理，办理车辆、搬运工具的修理手续;公司各类资质证书的办理;涉外业务;全公司各类档案的管理，包括技术文件的发放、回收、销毁以及产品零部件的编码等</w:t>
            </w:r>
          </w:p>
          <w:p>
            <w:pPr>
              <w:numPr>
                <w:ilvl w:val="0"/>
                <w:numId w:val="0"/>
              </w:num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&lt;管理部财务室&gt;</w:t>
            </w:r>
          </w:p>
          <w:p>
            <w:pPr>
              <w:numPr>
                <w:ilvl w:val="0"/>
                <w:numId w:val="0"/>
              </w:num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负责收支预算及其运用管理业务;月度决算、中期决算、期末决算业务;各项会计规章及帐票的制定、废除以及整理、保管业务;有关固定资产得失的会计处理以及决定偿还方法;资金会计年度的调查、研究;中期、整期、半期及月度的营业计划与实际执行情况的差异分析及其对策;现金的支出、收入管理等。</w:t>
            </w:r>
          </w:p>
          <w:p>
            <w:pPr>
              <w:ind w:firstLine="42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二、提供本部门的目标指标。经考核完成。</w:t>
            </w:r>
          </w:p>
          <w:tbl>
            <w:tblPr>
              <w:tblStyle w:val="8"/>
              <w:tblW w:w="43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1071"/>
              <w:gridCol w:w="1800"/>
              <w:gridCol w:w="1147"/>
              <w:gridCol w:w="1107"/>
              <w:gridCol w:w="1195"/>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1" w:type="dxa"/>
                  <w:vMerge w:val="restart"/>
                  <w:tcBorders>
                    <w:top w:val="single" w:color="auto" w:sz="4" w:space="0"/>
                    <w:left w:val="single" w:color="auto" w:sz="4" w:space="0"/>
                    <w:bottom w:val="single" w:color="auto" w:sz="4" w:space="0"/>
                    <w:right w:val="single" w:color="auto" w:sz="4" w:space="0"/>
                  </w:tcBorders>
                  <w:shd w:val="clear" w:color="auto" w:fill="F2F2F2"/>
                  <w:noWrap w:val="0"/>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类别</w:t>
                  </w:r>
                </w:p>
              </w:tc>
              <w:tc>
                <w:tcPr>
                  <w:tcW w:w="1071" w:type="dxa"/>
                  <w:vMerge w:val="restart"/>
                  <w:tcBorders>
                    <w:top w:val="single" w:color="auto" w:sz="4" w:space="0"/>
                    <w:left w:val="single" w:color="auto" w:sz="4" w:space="0"/>
                    <w:bottom w:val="single" w:color="auto" w:sz="4" w:space="0"/>
                    <w:right w:val="single" w:color="auto" w:sz="4" w:space="0"/>
                  </w:tcBorders>
                  <w:shd w:val="clear" w:color="auto" w:fill="F2F2F2"/>
                  <w:noWrap w:val="0"/>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层级</w:t>
                  </w:r>
                </w:p>
              </w:tc>
              <w:tc>
                <w:tcPr>
                  <w:tcW w:w="1800" w:type="dxa"/>
                  <w:vMerge w:val="restart"/>
                  <w:tcBorders>
                    <w:top w:val="single" w:color="auto" w:sz="4" w:space="0"/>
                    <w:left w:val="single" w:color="auto" w:sz="4" w:space="0"/>
                    <w:right w:val="single" w:color="auto" w:sz="4" w:space="0"/>
                  </w:tcBorders>
                  <w:shd w:val="clear" w:color="auto" w:fill="F2F2F2"/>
                  <w:noWrap w:val="0"/>
                  <w:vAlign w:val="center"/>
                </w:tcPr>
                <w:p>
                  <w:pPr>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目标项目</w:t>
                  </w:r>
                </w:p>
              </w:tc>
              <w:tc>
                <w:tcPr>
                  <w:tcW w:w="2254" w:type="dxa"/>
                  <w:gridSpan w:val="2"/>
                  <w:tcBorders>
                    <w:top w:val="single" w:color="auto" w:sz="4" w:space="0"/>
                    <w:left w:val="single" w:color="auto" w:sz="4" w:space="0"/>
                    <w:right w:val="single" w:color="auto" w:sz="4" w:space="0"/>
                  </w:tcBorders>
                  <w:shd w:val="clear" w:color="auto" w:fill="F2F2F2"/>
                  <w:noWrap w:val="0"/>
                  <w:vAlign w:val="center"/>
                </w:tcPr>
                <w:p>
                  <w:pPr>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20</w:t>
                  </w:r>
                  <w:r>
                    <w:rPr>
                      <w:rFonts w:hint="eastAsia"/>
                      <w:color w:val="000000" w:themeColor="text1"/>
                      <w14:textFill>
                        <w14:solidFill>
                          <w14:schemeClr w14:val="tx1"/>
                        </w14:solidFill>
                      </w14:textFill>
                    </w:rPr>
                    <w:t>21年</w:t>
                  </w:r>
                </w:p>
              </w:tc>
              <w:tc>
                <w:tcPr>
                  <w:tcW w:w="2662" w:type="dxa"/>
                  <w:gridSpan w:val="2"/>
                  <w:tcBorders>
                    <w:top w:val="single" w:color="auto" w:sz="4" w:space="0"/>
                    <w:left w:val="single" w:color="auto" w:sz="4" w:space="0"/>
                    <w:right w:val="single" w:color="auto" w:sz="4" w:space="0"/>
                  </w:tcBorders>
                  <w:shd w:val="clear" w:color="auto" w:fill="F2F2F2"/>
                  <w:noWrap w:val="0"/>
                  <w:vAlign w:val="center"/>
                </w:tcPr>
                <w:p>
                  <w:pPr>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2022年1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991" w:type="dxa"/>
                  <w:vMerge w:val="continue"/>
                  <w:tcBorders>
                    <w:top w:val="single" w:color="auto" w:sz="4" w:space="0"/>
                    <w:left w:val="single" w:color="auto" w:sz="4" w:space="0"/>
                    <w:bottom w:val="single" w:color="auto" w:sz="4" w:space="0"/>
                    <w:right w:val="single" w:color="auto" w:sz="4" w:space="0"/>
                  </w:tcBorders>
                  <w:shd w:val="clear" w:color="auto" w:fill="F2F2F2"/>
                  <w:noWrap w:val="0"/>
                  <w:vAlign w:val="center"/>
                </w:tcPr>
                <w:p>
                  <w:pPr>
                    <w:jc w:val="center"/>
                    <w:rPr>
                      <w:color w:val="000000" w:themeColor="text1"/>
                      <w14:textFill>
                        <w14:solidFill>
                          <w14:schemeClr w14:val="tx1"/>
                        </w14:solidFill>
                      </w14:textFill>
                    </w:rPr>
                  </w:pPr>
                </w:p>
              </w:tc>
              <w:tc>
                <w:tcPr>
                  <w:tcW w:w="1071" w:type="dxa"/>
                  <w:vMerge w:val="continue"/>
                  <w:tcBorders>
                    <w:top w:val="single" w:color="auto" w:sz="4" w:space="0"/>
                    <w:left w:val="single" w:color="auto" w:sz="4" w:space="0"/>
                    <w:bottom w:val="single" w:color="auto" w:sz="4" w:space="0"/>
                    <w:right w:val="single" w:color="auto" w:sz="4" w:space="0"/>
                  </w:tcBorders>
                  <w:shd w:val="clear" w:color="auto" w:fill="F2F2F2"/>
                  <w:noWrap w:val="0"/>
                  <w:vAlign w:val="center"/>
                </w:tcPr>
                <w:p>
                  <w:pPr>
                    <w:jc w:val="center"/>
                    <w:rPr>
                      <w:color w:val="000000" w:themeColor="text1"/>
                      <w14:textFill>
                        <w14:solidFill>
                          <w14:schemeClr w14:val="tx1"/>
                        </w14:solidFill>
                      </w14:textFill>
                    </w:rPr>
                  </w:pPr>
                </w:p>
              </w:tc>
              <w:tc>
                <w:tcPr>
                  <w:tcW w:w="1800" w:type="dxa"/>
                  <w:vMerge w:val="continue"/>
                  <w:tcBorders>
                    <w:left w:val="single" w:color="auto" w:sz="4" w:space="0"/>
                    <w:bottom w:val="single" w:color="auto" w:sz="4" w:space="0"/>
                    <w:right w:val="single" w:color="auto" w:sz="4" w:space="0"/>
                  </w:tcBorders>
                  <w:shd w:val="clear" w:color="auto" w:fill="F2F2F2"/>
                  <w:noWrap w:val="0"/>
                  <w:vAlign w:val="center"/>
                </w:tcPr>
                <w:p>
                  <w:pPr>
                    <w:jc w:val="center"/>
                    <w:rPr>
                      <w:color w:val="000000" w:themeColor="text1"/>
                      <w14:textFill>
                        <w14:solidFill>
                          <w14:schemeClr w14:val="tx1"/>
                        </w14:solidFill>
                      </w14:textFill>
                    </w:rPr>
                  </w:pPr>
                </w:p>
              </w:tc>
              <w:tc>
                <w:tcPr>
                  <w:tcW w:w="1147" w:type="dxa"/>
                  <w:tcBorders>
                    <w:top w:val="single" w:color="auto" w:sz="4" w:space="0"/>
                    <w:left w:val="single" w:color="auto" w:sz="4" w:space="0"/>
                    <w:bottom w:val="single" w:color="auto" w:sz="4" w:space="0"/>
                    <w:right w:val="single" w:color="auto" w:sz="4" w:space="0"/>
                  </w:tcBorders>
                  <w:shd w:val="clear" w:color="auto" w:fill="F2F2F2"/>
                  <w:noWrap w:val="0"/>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指标值</w:t>
                  </w:r>
                </w:p>
              </w:tc>
              <w:tc>
                <w:tcPr>
                  <w:tcW w:w="1107" w:type="dxa"/>
                  <w:tcBorders>
                    <w:top w:val="single" w:color="auto" w:sz="4" w:space="0"/>
                    <w:left w:val="single" w:color="auto" w:sz="4" w:space="0"/>
                    <w:bottom w:val="single" w:color="auto" w:sz="4" w:space="0"/>
                    <w:right w:val="single" w:color="auto" w:sz="4" w:space="0"/>
                  </w:tcBorders>
                  <w:shd w:val="clear" w:color="auto" w:fill="F2F2F2"/>
                  <w:noWrap w:val="0"/>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实际</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完成</w:t>
                  </w:r>
                </w:p>
              </w:tc>
              <w:tc>
                <w:tcPr>
                  <w:tcW w:w="1195" w:type="dxa"/>
                  <w:tcBorders>
                    <w:top w:val="single" w:color="auto" w:sz="4" w:space="0"/>
                    <w:left w:val="single" w:color="auto" w:sz="4" w:space="0"/>
                    <w:bottom w:val="single" w:color="auto" w:sz="4" w:space="0"/>
                    <w:right w:val="single" w:color="auto" w:sz="4" w:space="0"/>
                  </w:tcBorders>
                  <w:shd w:val="clear" w:color="auto" w:fill="F2F2F2"/>
                  <w:noWrap w:val="0"/>
                  <w:vAlign w:val="center"/>
                </w:tcPr>
                <w:p>
                  <w:pPr>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指标值</w:t>
                  </w:r>
                </w:p>
              </w:tc>
              <w:tc>
                <w:tcPr>
                  <w:tcW w:w="1467" w:type="dxa"/>
                  <w:tcBorders>
                    <w:top w:val="single" w:color="auto" w:sz="4" w:space="0"/>
                    <w:left w:val="single" w:color="auto" w:sz="4" w:space="0"/>
                    <w:bottom w:val="single" w:color="auto" w:sz="4" w:space="0"/>
                    <w:right w:val="single" w:color="auto" w:sz="4" w:space="0"/>
                  </w:tcBorders>
                  <w:shd w:val="clear" w:color="auto" w:fill="F2F2F2"/>
                  <w:noWrap w:val="0"/>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实际</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1" w:type="dxa"/>
                  <w:vMerge w:val="restart"/>
                  <w:tcBorders>
                    <w:top w:val="single" w:color="auto" w:sz="4" w:space="0"/>
                    <w:left w:val="single" w:color="auto" w:sz="4" w:space="0"/>
                    <w:right w:val="single" w:color="auto" w:sz="4" w:space="0"/>
                  </w:tcBorders>
                  <w:noWrap w:val="0"/>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各部门目标</w:t>
                  </w:r>
                </w:p>
              </w:tc>
              <w:tc>
                <w:tcPr>
                  <w:tcW w:w="1071" w:type="dxa"/>
                  <w:vMerge w:val="restart"/>
                  <w:tcBorders>
                    <w:top w:val="single" w:color="auto" w:sz="4" w:space="0"/>
                    <w:left w:val="single" w:color="auto" w:sz="4" w:space="0"/>
                    <w:right w:val="single" w:color="auto" w:sz="4" w:space="0"/>
                  </w:tcBorders>
                  <w:noWrap w:val="0"/>
                  <w:vAlign w:val="center"/>
                </w:tcPr>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管理部</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员工培训覆盖率</w:t>
                  </w:r>
                </w:p>
              </w:tc>
              <w:tc>
                <w:tcPr>
                  <w:tcW w:w="1147"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11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119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1467"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991" w:type="dxa"/>
                  <w:vMerge w:val="continue"/>
                  <w:tcBorders>
                    <w:left w:val="single" w:color="auto" w:sz="4" w:space="0"/>
                    <w:right w:val="single" w:color="auto" w:sz="4" w:space="0"/>
                  </w:tcBorders>
                  <w:noWrap w:val="0"/>
                  <w:vAlign w:val="top"/>
                </w:tcPr>
                <w:p>
                  <w:pPr>
                    <w:jc w:val="left"/>
                    <w:rPr>
                      <w:color w:val="000000" w:themeColor="text1"/>
                      <w14:textFill>
                        <w14:solidFill>
                          <w14:schemeClr w14:val="tx1"/>
                        </w14:solidFill>
                      </w14:textFill>
                    </w:rPr>
                  </w:pPr>
                </w:p>
              </w:tc>
              <w:tc>
                <w:tcPr>
                  <w:tcW w:w="1071" w:type="dxa"/>
                  <w:vMerge w:val="continue"/>
                  <w:tcBorders>
                    <w:left w:val="single" w:color="auto" w:sz="4" w:space="0"/>
                    <w:right w:val="single" w:color="auto" w:sz="4" w:space="0"/>
                  </w:tcBorders>
                  <w:noWrap w:val="0"/>
                  <w:vAlign w:val="center"/>
                </w:tcPr>
                <w:p>
                  <w:pPr>
                    <w:jc w:val="center"/>
                    <w:rPr>
                      <w:rFonts w:hint="eastAsia"/>
                      <w:color w:val="000000" w:themeColor="text1"/>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能源采购符合节能降耗规定</w:t>
                  </w:r>
                </w:p>
              </w:tc>
              <w:tc>
                <w:tcPr>
                  <w:tcW w:w="114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11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11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14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91" w:type="dxa"/>
                  <w:vMerge w:val="continue"/>
                  <w:tcBorders>
                    <w:left w:val="single" w:color="auto" w:sz="4" w:space="0"/>
                    <w:right w:val="single" w:color="auto" w:sz="4" w:space="0"/>
                  </w:tcBorders>
                  <w:noWrap w:val="0"/>
                  <w:vAlign w:val="top"/>
                </w:tcPr>
                <w:p>
                  <w:pPr>
                    <w:jc w:val="left"/>
                    <w:rPr>
                      <w:color w:val="000000" w:themeColor="text1"/>
                      <w14:textFill>
                        <w14:solidFill>
                          <w14:schemeClr w14:val="tx1"/>
                        </w14:solidFill>
                      </w14:textFill>
                    </w:rPr>
                  </w:pPr>
                </w:p>
              </w:tc>
              <w:tc>
                <w:tcPr>
                  <w:tcW w:w="1071" w:type="dxa"/>
                  <w:vMerge w:val="continue"/>
                  <w:tcBorders>
                    <w:left w:val="single" w:color="auto" w:sz="4" w:space="0"/>
                    <w:right w:val="single" w:color="auto" w:sz="4" w:space="0"/>
                  </w:tcBorders>
                  <w:noWrap w:val="0"/>
                  <w:vAlign w:val="center"/>
                </w:tcPr>
                <w:p>
                  <w:pPr>
                    <w:jc w:val="center"/>
                    <w:rPr>
                      <w:rFonts w:hint="eastAsia"/>
                      <w:color w:val="000000" w:themeColor="text1"/>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节约办公用电</w:t>
                  </w:r>
                </w:p>
              </w:tc>
              <w:tc>
                <w:tcPr>
                  <w:tcW w:w="1147"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定期</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检查</w:t>
                  </w:r>
                </w:p>
              </w:tc>
              <w:tc>
                <w:tcPr>
                  <w:tcW w:w="1107"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定期</w:t>
                  </w:r>
                </w:p>
                <w:p>
                  <w:pPr>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检查</w:t>
                  </w:r>
                </w:p>
              </w:tc>
              <w:tc>
                <w:tcPr>
                  <w:tcW w:w="119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定期</w:t>
                  </w:r>
                </w:p>
                <w:p>
                  <w:pPr>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检查</w:t>
                  </w:r>
                </w:p>
              </w:tc>
              <w:tc>
                <w:tcPr>
                  <w:tcW w:w="1467"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定期</w:t>
                  </w:r>
                </w:p>
                <w:p>
                  <w:pPr>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检查</w:t>
                  </w:r>
                </w:p>
              </w:tc>
            </w:tr>
          </w:tbl>
          <w:p>
            <w:pPr>
              <w:rPr>
                <w:rFonts w:hint="default"/>
                <w:color w:val="000000" w:themeColor="text1"/>
                <w:lang w:val="en-US" w:eastAsia="zh-CN"/>
                <w14:textFill>
                  <w14:solidFill>
                    <w14:schemeClr w14:val="tx1"/>
                  </w14:solidFill>
                </w14:textFill>
              </w:rPr>
            </w:pPr>
          </w:p>
        </w:tc>
        <w:tc>
          <w:tcPr>
            <w:tcW w:w="1213" w:type="dxa"/>
          </w:tcPr>
          <w:p>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160" w:type="dxa"/>
          </w:tcPr>
          <w:p>
            <w:pPr>
              <w:pStyle w:val="7"/>
              <w:ind w:left="0" w:leftChars="0"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2风险与机遇的识别与控制</w:t>
            </w:r>
          </w:p>
        </w:tc>
        <w:tc>
          <w:tcPr>
            <w:tcW w:w="960" w:type="dxa"/>
          </w:tcPr>
          <w:p>
            <w:pPr>
              <w:pStyle w:val="7"/>
              <w:ind w:left="0" w:leftChars="0" w:firstLine="0" w:firstLineChars="0"/>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6.1</w:t>
            </w:r>
          </w:p>
        </w:tc>
        <w:tc>
          <w:tcPr>
            <w:tcW w:w="10376" w:type="dxa"/>
          </w:tcPr>
          <w:p>
            <w:pPr>
              <w:ind w:firstLine="420" w:firstLineChars="200"/>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公司通过对目标和战略方向相关影响其实现能源管理体系预期结果的各种内外部环境因素的识别与评价，有效应对风险和机遇</w:t>
            </w:r>
            <w:r>
              <w:rPr>
                <w:rFonts w:hint="eastAsia"/>
                <w:color w:val="000000" w:themeColor="text1"/>
                <w:sz w:val="21"/>
                <w:szCs w:val="21"/>
                <w:lang w:val="en-US" w:eastAsia="zh-CN"/>
                <w14:textFill>
                  <w14:solidFill>
                    <w14:schemeClr w14:val="tx1"/>
                  </w14:solidFill>
                </w14:textFill>
              </w:rPr>
              <w:t>。</w:t>
            </w:r>
          </w:p>
          <w:p>
            <w:pPr>
              <w:ind w:firstLine="420" w:firstLineChars="20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公司</w:t>
            </w:r>
            <w:r>
              <w:rPr>
                <w:rFonts w:hint="eastAsia" w:eastAsia="宋体"/>
                <w:color w:val="000000" w:themeColor="text1"/>
                <w:sz w:val="21"/>
                <w:szCs w:val="21"/>
                <w:lang w:val="en-US" w:eastAsia="zh-CN"/>
                <w14:textFill>
                  <w14:solidFill>
                    <w14:schemeClr w14:val="tx1"/>
                  </w14:solidFill>
                </w14:textFill>
              </w:rPr>
              <w:t xml:space="preserve">管理层通过战略分析与风险识别工作确认影响目标实现的内部和外部风险因素。 </w:t>
            </w:r>
          </w:p>
          <w:p>
            <w:pPr>
              <w:ind w:firstLine="420" w:firstLineChars="20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公司的</w:t>
            </w:r>
            <w:r>
              <w:rPr>
                <w:rFonts w:hint="eastAsia" w:eastAsia="宋体"/>
                <w:color w:val="000000" w:themeColor="text1"/>
                <w:sz w:val="21"/>
                <w:szCs w:val="21"/>
                <w:lang w:val="en-US" w:eastAsia="zh-CN"/>
                <w14:textFill>
                  <w14:solidFill>
                    <w14:schemeClr w14:val="tx1"/>
                  </w14:solidFill>
                </w14:textFill>
              </w:rPr>
              <w:t>各职能部门、生产单位负责对风险进行评价,建立风险管理数据</w:t>
            </w:r>
            <w:r>
              <w:rPr>
                <w:rFonts w:hint="eastAsia"/>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lang w:val="en-US" w:eastAsia="zh-CN"/>
                <w14:textFill>
                  <w14:solidFill>
                    <w14:schemeClr w14:val="tx1"/>
                  </w14:solidFill>
                </w14:textFill>
              </w:rPr>
              <w:t>根据风险因素发生的可能性和影响</w:t>
            </w:r>
            <w:r>
              <w:rPr>
                <w:rFonts w:hint="eastAsia"/>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lang w:val="en-US" w:eastAsia="zh-CN"/>
                <w14:textFill>
                  <w14:solidFill>
                    <w14:schemeClr w14:val="tx1"/>
                  </w14:solidFill>
                </w14:textFill>
              </w:rPr>
              <w:t>风险控制与应对:公司建立并严格执行授权管理、决策管理、绩效考核、法律顾问制度及重要岗位权力制衡制度等内控措施,控制重要业务、关键流程、关键控制点和重大风险</w:t>
            </w:r>
            <w:r>
              <w:rPr>
                <w:rFonts w:hint="eastAsia"/>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lang w:val="en-US" w:eastAsia="zh-CN"/>
                <w14:textFill>
                  <w14:solidFill>
                    <w14:schemeClr w14:val="tx1"/>
                  </w14:solidFill>
                </w14:textFill>
              </w:rPr>
              <w:t>对高风险业务程序合规。</w:t>
            </w:r>
          </w:p>
          <w:p>
            <w:pPr>
              <w:pStyle w:val="2"/>
              <w:ind w:firstLine="420" w:firstLineChars="200"/>
              <w:rPr>
                <w:rFonts w:hint="default"/>
                <w:color w:val="000000" w:themeColor="text1"/>
                <w:lang w:val="en-US" w:eastAsia="zh-CN"/>
                <w14:textFill>
                  <w14:solidFill>
                    <w14:schemeClr w14:val="tx1"/>
                  </w14:solidFill>
                </w14:textFill>
              </w:rPr>
            </w:pPr>
            <w:r>
              <w:rPr>
                <w:rFonts w:hint="eastAsia" w:cs="Times New Roman" w:asciiTheme="minorEastAsia" w:hAnsiTheme="minorEastAsia" w:eastAsiaTheme="minorEastAsia"/>
                <w:bCs w:val="0"/>
                <w:color w:val="000000" w:themeColor="text1"/>
                <w:spacing w:val="0"/>
                <w:kern w:val="2"/>
                <w:sz w:val="21"/>
                <w:szCs w:val="21"/>
                <w:lang w:val="en-US" w:eastAsia="zh-CN" w:bidi="ar-SA"/>
                <w14:textFill>
                  <w14:solidFill>
                    <w14:schemeClr w14:val="tx1"/>
                  </w14:solidFill>
                </w14:textFill>
              </w:rPr>
              <w:t>提供《风险与机遇评估分析表》，按照：类型、风险及机遇的识别（类别、外部因素及相关方描述、风险和机遇）、风险及机遇的评估（发生可能性×严重性、等级）、风险及机遇应对措施等进行，共16个，3个高风险其余全部为一般风险和低风险和机遇。较适合公司现状。</w:t>
            </w:r>
          </w:p>
        </w:tc>
        <w:tc>
          <w:tcPr>
            <w:tcW w:w="1213" w:type="dxa"/>
          </w:tcPr>
          <w:p>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numPr>
                <w:ilvl w:val="0"/>
                <w:numId w:val="0"/>
              </w:numPr>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3查员工</w:t>
            </w:r>
            <w:r>
              <w:rPr>
                <w:rFonts w:hint="eastAsia"/>
                <w:color w:val="000000" w:themeColor="text1"/>
                <w14:textFill>
                  <w14:solidFill>
                    <w14:schemeClr w14:val="tx1"/>
                  </w14:solidFill>
                </w14:textFill>
              </w:rPr>
              <w:t>的能力、意识及培训策划与实施</w:t>
            </w:r>
            <w:r>
              <w:rPr>
                <w:rFonts w:hint="eastAsia"/>
                <w:color w:val="000000" w:themeColor="text1"/>
                <w:lang w:val="en-US" w:eastAsia="zh-CN"/>
                <w14:textFill>
                  <w14:solidFill>
                    <w14:schemeClr w14:val="tx1"/>
                  </w14:solidFill>
                </w14:textFill>
              </w:rPr>
              <w:t>效果，沟通</w:t>
            </w:r>
            <w:r>
              <w:rPr>
                <w:rFonts w:hint="eastAsia"/>
                <w:color w:val="000000" w:themeColor="text1"/>
                <w:lang w:eastAsia="zh-CN"/>
                <w14:textFill>
                  <w14:solidFill>
                    <w14:schemeClr w14:val="tx1"/>
                  </w14:solidFill>
                </w14:textFill>
              </w:rPr>
              <w:t>；</w:t>
            </w:r>
          </w:p>
          <w:p>
            <w:pPr>
              <w:pStyle w:val="3"/>
              <w:numPr>
                <w:ilvl w:val="0"/>
                <w:numId w:val="0"/>
              </w:numPr>
              <w:ind w:leftChars="0"/>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2"/>
                <w:lang w:val="en-US" w:eastAsia="zh-CN" w:bidi="ar-SA"/>
                <w14:textFill>
                  <w14:solidFill>
                    <w14:schemeClr w14:val="tx1"/>
                  </w14:solidFill>
                </w14:textFill>
              </w:rPr>
              <w:t>4</w:t>
            </w:r>
            <w:r>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t>运行控制</w:t>
            </w:r>
          </w:p>
          <w:p>
            <w:pPr>
              <w:pStyle w:val="3"/>
              <w:numPr>
                <w:ilvl w:val="0"/>
                <w:numId w:val="0"/>
              </w:numPr>
              <w:ind w:leftChars="0"/>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p>
        </w:tc>
        <w:tc>
          <w:tcPr>
            <w:tcW w:w="960"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7.2</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7.3</w:t>
            </w:r>
          </w:p>
          <w:p>
            <w:pPr>
              <w:pStyle w:val="7"/>
              <w:ind w:left="0" w:leftChars="0" w:firstLine="0" w:firstLineChars="0"/>
              <w:rPr>
                <w:rFonts w:hint="default" w:eastAsia="宋体"/>
                <w:color w:val="000000" w:themeColor="text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7</w:t>
            </w:r>
            <w:r>
              <w:rPr>
                <w:rFonts w:hint="eastAsia"/>
                <w:color w:val="000000" w:themeColor="text1"/>
                <w14:textFill>
                  <w14:solidFill>
                    <w14:schemeClr w14:val="tx1"/>
                  </w14:solidFill>
                </w14:textFill>
              </w:rPr>
              <w:t>.</w:t>
            </w:r>
            <w:r>
              <w:rPr>
                <w:rFonts w:hint="eastAsia" w:ascii="宋体" w:hAnsi="宋体" w:cs="Times New Roman"/>
                <w:color w:val="000000" w:themeColor="text1"/>
                <w:sz w:val="21"/>
                <w:szCs w:val="21"/>
                <w:lang w:val="en-US" w:eastAsia="zh-CN"/>
                <w14:textFill>
                  <w14:solidFill>
                    <w14:schemeClr w14:val="tx1"/>
                  </w14:solidFill>
                </w14:textFill>
              </w:rPr>
              <w:t>4/8.1</w:t>
            </w:r>
          </w:p>
        </w:tc>
        <w:tc>
          <w:tcPr>
            <w:tcW w:w="10376" w:type="dxa"/>
          </w:tcPr>
          <w:p>
            <w:pPr>
              <w:numPr>
                <w:ilvl w:val="0"/>
                <w:numId w:val="2"/>
              </w:numPr>
              <w:ind w:firstLine="42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查阅文件</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提供《能源管理手册》、</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程序文件</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、能源管理制度，相关文件有《SLDK/En-CX-07能力、意识和培训控制程序》《SLDK/En-CX-08信息沟通程序》，基本符合标准要求。</w:t>
            </w:r>
          </w:p>
          <w:p>
            <w:pPr>
              <w:numPr>
                <w:ilvl w:val="0"/>
                <w:numId w:val="0"/>
              </w:numPr>
              <w:ind w:firstLine="420" w:firstLine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以上</w:t>
            </w:r>
            <w:r>
              <w:rPr>
                <w:rFonts w:hint="eastAsia"/>
                <w:color w:val="000000" w:themeColor="text1"/>
                <w:lang w:eastAsia="zh-CN"/>
                <w14:textFill>
                  <w14:solidFill>
                    <w14:schemeClr w14:val="tx1"/>
                  </w14:solidFill>
                </w14:textFill>
              </w:rPr>
              <w:t>有发布，实施。有编审批。确保了其适宜性和充分性</w:t>
            </w:r>
            <w:r>
              <w:rPr>
                <w:rFonts w:hint="eastAsia"/>
                <w:color w:val="000000" w:themeColor="text1"/>
                <w14:textFill>
                  <w14:solidFill>
                    <w14:schemeClr w14:val="tx1"/>
                  </w14:solidFill>
                </w14:textFill>
              </w:rPr>
              <w:t>。</w:t>
            </w:r>
          </w:p>
          <w:p>
            <w:pPr>
              <w:ind w:firstLine="42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二、查阅能力、意识和沟通</w:t>
            </w:r>
          </w:p>
          <w:p>
            <w:pPr>
              <w:ind w:firstLine="42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1、能力、培训方面，在</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能源管理手册</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《能力、培训和意识控制程序》均有相应的规定：</w:t>
            </w:r>
          </w:p>
          <w:p>
            <w:pPr>
              <w:ind w:firstLine="42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管理部负责公司编制《能力、培训和意识控制程序》，规定能源管理和能源使用岗位人员招聘、培训、使用的有关要求，确保本公司能源管理和能源使用岗位人员的能力是能够胜任的。 </w:t>
            </w:r>
          </w:p>
          <w:p>
            <w:pPr>
              <w:ind w:left="420" w:leftChars="200"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2、在意识方面，</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能源管理手册</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《能力、培训和意识控制程序》均有相应的规定，</w:t>
            </w:r>
          </w:p>
          <w:p>
            <w:pPr>
              <w:pStyle w:val="7"/>
              <w:numPr>
                <w:ilvl w:val="0"/>
                <w:numId w:val="0"/>
              </w:numPr>
              <w:ind w:firstLine="42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公司通过以下措施来提高员工的节能意识，确保能源管理体系运行的有效性和适宜性。</w:t>
            </w:r>
          </w:p>
          <w:p>
            <w:pPr>
              <w:pStyle w:val="7"/>
              <w:numPr>
                <w:ilvl w:val="0"/>
                <w:numId w:val="0"/>
              </w:numPr>
              <w:ind w:firstLine="42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在公司能源管理体系下工作的人员应意识到： </w:t>
            </w:r>
          </w:p>
          <w:p>
            <w:pPr>
              <w:pStyle w:val="7"/>
              <w:numPr>
                <w:ilvl w:val="0"/>
                <w:numId w:val="0"/>
              </w:numPr>
              <w:ind w:firstLine="42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a) 符合能源方针、程序和能源管理体系要求的重要性； </w:t>
            </w:r>
          </w:p>
          <w:p>
            <w:pPr>
              <w:pStyle w:val="7"/>
              <w:numPr>
                <w:ilvl w:val="0"/>
                <w:numId w:val="0"/>
              </w:numPr>
              <w:ind w:firstLine="42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b) 他们对能源管理体系有效性的贡献，包括目标和能源指标的实现以及改进能源绩效的益处； </w:t>
            </w:r>
          </w:p>
          <w:p>
            <w:pPr>
              <w:pStyle w:val="7"/>
              <w:numPr>
                <w:ilvl w:val="0"/>
                <w:numId w:val="0"/>
              </w:numPr>
              <w:ind w:firstLine="42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c) 自身活动或行为对能源绩效的影响； </w:t>
            </w:r>
          </w:p>
          <w:p>
            <w:pPr>
              <w:pStyle w:val="7"/>
              <w:numPr>
                <w:ilvl w:val="0"/>
                <w:numId w:val="0"/>
              </w:numPr>
              <w:ind w:firstLine="420" w:firstLineChars="20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d) 不符合能源管理体系要求的后果。</w:t>
            </w:r>
          </w:p>
          <w:p>
            <w:pPr>
              <w:pStyle w:val="7"/>
              <w:numPr>
                <w:ilvl w:val="0"/>
                <w:numId w:val="0"/>
              </w:numPr>
              <w:ind w:firstLine="420" w:firstLineChars="20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3、在沟通方面，</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信息沟通程序</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公司均有相应的规定。</w:t>
            </w:r>
          </w:p>
          <w:p>
            <w:pPr>
              <w:numPr>
                <w:ilvl w:val="0"/>
                <w:numId w:val="0"/>
              </w:numPr>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外部信息交流的内容包括：</w:t>
            </w:r>
          </w:p>
          <w:p>
            <w:pPr>
              <w:numPr>
                <w:ilvl w:val="0"/>
                <w:numId w:val="0"/>
              </w:numPr>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（1）节能行政主管部门、节能监察机构及能源监测机构监督、检查或监测的结果及反馈的信息；</w:t>
            </w:r>
          </w:p>
          <w:p>
            <w:pPr>
              <w:numPr>
                <w:ilvl w:val="0"/>
                <w:numId w:val="0"/>
              </w:numPr>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（2）政策、法律法规、标准类信息，如节能法律法规、产业政策、节能标准等；</w:t>
            </w:r>
          </w:p>
          <w:p>
            <w:pPr>
              <w:numPr>
                <w:ilvl w:val="0"/>
                <w:numId w:val="0"/>
              </w:numPr>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（3）相关方的信息及投诉等，相关方指合同方、供应方等；</w:t>
            </w:r>
          </w:p>
          <w:p>
            <w:pPr>
              <w:numPr>
                <w:ilvl w:val="0"/>
                <w:numId w:val="0"/>
              </w:numPr>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）其它外部信息，如各部门直接从外部获取的有关能源方面的信息。</w:t>
            </w:r>
          </w:p>
          <w:p>
            <w:pPr>
              <w:numPr>
                <w:ilvl w:val="0"/>
                <w:numId w:val="0"/>
              </w:numPr>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公司内部建立生产（节能）例会制度，每月召开生产（节能）例会不少</w:t>
            </w:r>
            <w:r>
              <w:rPr>
                <w:rFonts w:hint="eastAsia"/>
                <w:color w:val="000000" w:themeColor="text1"/>
                <w:lang w:val="en-US" w:eastAsia="zh-CN"/>
                <w14:textFill>
                  <w14:solidFill>
                    <w14:schemeClr w14:val="tx1"/>
                  </w14:solidFill>
                </w14:textFill>
              </w:rPr>
              <w:t>一</w:t>
            </w:r>
            <w:r>
              <w:rPr>
                <w:rFonts w:hint="eastAsia"/>
                <w:color w:val="000000" w:themeColor="text1"/>
                <w:lang w:eastAsia="zh-CN"/>
                <w14:textFill>
                  <w14:solidFill>
                    <w14:schemeClr w14:val="tx1"/>
                  </w14:solidFill>
                </w14:textFill>
              </w:rPr>
              <w:t>次。</w:t>
            </w:r>
            <w:r>
              <w:rPr>
                <w:rFonts w:hint="eastAsia"/>
                <w:color w:val="000000" w:themeColor="text1"/>
                <w:lang w:val="en-US" w:eastAsia="zh-CN"/>
                <w14:textFill>
                  <w14:solidFill>
                    <w14:schemeClr w14:val="tx1"/>
                  </w14:solidFill>
                </w14:textFill>
              </w:rPr>
              <w:t>公司沟通还包括：会议、电话、网络、文件、专题会议等。</w:t>
            </w:r>
          </w:p>
          <w:p>
            <w:pPr>
              <w:numPr>
                <w:ilvl w:val="0"/>
                <w:numId w:val="0"/>
              </w:numPr>
              <w:ind w:firstLine="420" w:firstLineChars="20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公司内外部信息沟通保持了畅通。</w:t>
            </w:r>
          </w:p>
          <w:p>
            <w:pPr>
              <w:numPr>
                <w:ilvl w:val="0"/>
                <w:numId w:val="0"/>
              </w:numPr>
              <w:ind w:left="420" w:left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三、查培训    </w:t>
            </w:r>
          </w:p>
          <w:p>
            <w:pPr>
              <w:numPr>
                <w:ilvl w:val="0"/>
                <w:numId w:val="3"/>
              </w:numPr>
              <w:ind w:left="735"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提供文件：“2021-2022年度培训计划”</w:t>
            </w:r>
          </w:p>
          <w:p>
            <w:pPr>
              <w:pStyle w:val="2"/>
              <w:jc w:val="center"/>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3738880" cy="2065655"/>
                  <wp:effectExtent l="0" t="0" r="7620" b="444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0"/>
                          <a:stretch>
                            <a:fillRect/>
                          </a:stretch>
                        </pic:blipFill>
                        <pic:spPr>
                          <a:xfrm>
                            <a:off x="0" y="0"/>
                            <a:ext cx="3738880" cy="2065655"/>
                          </a:xfrm>
                          <a:prstGeom prst="rect">
                            <a:avLst/>
                          </a:prstGeom>
                          <a:noFill/>
                          <a:ln>
                            <a:noFill/>
                          </a:ln>
                        </pic:spPr>
                      </pic:pic>
                    </a:graphicData>
                  </a:graphic>
                </wp:inline>
              </w:drawing>
            </w:r>
          </w:p>
          <w:p>
            <w:pPr>
              <w:numPr>
                <w:ilvl w:val="0"/>
                <w:numId w:val="3"/>
              </w:numPr>
              <w:ind w:left="735"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抽查阅该公司能源《培训记录表》其中能源标准的一份培训记录及培训效果的评价。 </w:t>
            </w:r>
          </w:p>
          <w:p>
            <w:pPr>
              <w:pStyle w:val="2"/>
              <w:jc w:val="center"/>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615180" cy="1652270"/>
                  <wp:effectExtent l="0" t="0" r="7620" b="1143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4615180" cy="1652270"/>
                          </a:xfrm>
                          <a:prstGeom prst="rect">
                            <a:avLst/>
                          </a:prstGeom>
                          <a:noFill/>
                          <a:ln>
                            <a:noFill/>
                          </a:ln>
                        </pic:spPr>
                      </pic:pic>
                    </a:graphicData>
                  </a:graphic>
                </wp:inline>
              </w:drawing>
            </w:r>
          </w:p>
          <w:p>
            <w:pPr>
              <w:pStyle w:val="2"/>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drawing>
                <wp:inline distT="0" distB="0" distL="114300" distR="114300">
                  <wp:extent cx="3792220" cy="1934845"/>
                  <wp:effectExtent l="0" t="0" r="5080" b="825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2"/>
                          <a:stretch>
                            <a:fillRect/>
                          </a:stretch>
                        </pic:blipFill>
                        <pic:spPr>
                          <a:xfrm>
                            <a:off x="0" y="0"/>
                            <a:ext cx="3792220" cy="1934845"/>
                          </a:xfrm>
                          <a:prstGeom prst="rect">
                            <a:avLst/>
                          </a:prstGeom>
                          <a:noFill/>
                          <a:ln>
                            <a:noFill/>
                          </a:ln>
                        </pic:spPr>
                      </pic:pic>
                    </a:graphicData>
                  </a:graphic>
                </wp:inline>
              </w:drawing>
            </w:r>
          </w:p>
          <w:p>
            <w:pPr>
              <w:keepNext w:val="0"/>
              <w:keepLines w:val="0"/>
              <w:pageBreakBefore w:val="0"/>
              <w:widowControl w:val="0"/>
              <w:kinsoku/>
              <w:wordWrap/>
              <w:overflowPunct/>
              <w:topLinePunct w:val="0"/>
              <w:bidi w:val="0"/>
              <w:adjustRightInd/>
              <w:snapToGrid/>
              <w:ind w:firstLine="420" w:firstLineChars="200"/>
              <w:jc w:val="left"/>
              <w:textAlignment w:val="auto"/>
              <w:rPr>
                <w:rFonts w:hint="eastAsia"/>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bidi w:val="0"/>
              <w:adjustRightInd/>
              <w:snapToGrid/>
              <w:ind w:firstLine="420" w:firstLineChars="200"/>
              <w:jc w:val="left"/>
              <w:textAlignment w:val="auto"/>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公司在能源意识、能源沟通方面没有发生不符合，</w:t>
            </w:r>
            <w:r>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t>符合</w:t>
            </w:r>
            <w:r>
              <w:rPr>
                <w:rFonts w:hint="eastAsia" w:cs="Times New Roman"/>
                <w:color w:val="000000" w:themeColor="text1"/>
                <w:kern w:val="2"/>
                <w:sz w:val="21"/>
                <w:szCs w:val="22"/>
                <w:lang w:val="en-US" w:eastAsia="zh-CN" w:bidi="ar-SA"/>
                <w14:textFill>
                  <w14:solidFill>
                    <w14:schemeClr w14:val="tx1"/>
                  </w14:solidFill>
                </w14:textFill>
              </w:rPr>
              <w:t>标准</w:t>
            </w:r>
            <w:r>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t>要求</w:t>
            </w:r>
            <w:r>
              <w:rPr>
                <w:rFonts w:hint="eastAsia" w:cs="Times New Roman"/>
                <w:color w:val="000000" w:themeColor="text1"/>
                <w:kern w:val="2"/>
                <w:sz w:val="21"/>
                <w:szCs w:val="22"/>
                <w:lang w:val="en-US" w:eastAsia="zh-CN" w:bidi="ar-SA"/>
                <w14:textFill>
                  <w14:solidFill>
                    <w14:schemeClr w14:val="tx1"/>
                  </w14:solidFill>
                </w14:textFill>
              </w:rPr>
              <w:t>，也符合公司的管理实际</w:t>
            </w:r>
            <w:r>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t>。</w:t>
            </w:r>
          </w:p>
          <w:p>
            <w:pPr>
              <w:ind w:firstLine="42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四、查阅人员及资质。公司不需要国家认定的特殊工种（不涉及电工、焊工），据负责人说：公司的配电箱由园区的专业人员管理，负责开关合闸，公司内部只是操作工。</w:t>
            </w:r>
          </w:p>
          <w:p>
            <w:pPr>
              <w:pStyle w:val="2"/>
              <w:numPr>
                <w:ilvl w:val="0"/>
                <w:numId w:val="0"/>
              </w:numPr>
              <w:ind w:firstLine="50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提供园区相关方低压电工牟林资质：</w:t>
            </w:r>
          </w:p>
          <w:p>
            <w:pPr>
              <w:pStyle w:val="2"/>
              <w:numPr>
                <w:ilvl w:val="0"/>
                <w:numId w:val="0"/>
              </w:numPr>
              <w:jc w:val="center"/>
              <w:rPr>
                <w:rFonts w:hint="eastAsia" w:eastAsia="宋体"/>
                <w:color w:val="000000" w:themeColor="text1"/>
                <w:lang w:val="en-US" w:eastAsia="zh-CN"/>
                <w14:textFill>
                  <w14:solidFill>
                    <w14:schemeClr w14:val="tx1"/>
                  </w14:solidFill>
                </w14:textFill>
              </w:rPr>
            </w:pPr>
            <w:r>
              <w:drawing>
                <wp:inline distT="0" distB="0" distL="114300" distR="114300">
                  <wp:extent cx="2505075" cy="1639570"/>
                  <wp:effectExtent l="0" t="0" r="9525" b="1143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3"/>
                          <a:stretch>
                            <a:fillRect/>
                          </a:stretch>
                        </pic:blipFill>
                        <pic:spPr>
                          <a:xfrm>
                            <a:off x="0" y="0"/>
                            <a:ext cx="2505075" cy="16395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360930" cy="1656080"/>
                  <wp:effectExtent l="0" t="0" r="1270" b="762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4"/>
                          <a:stretch>
                            <a:fillRect/>
                          </a:stretch>
                        </pic:blipFill>
                        <pic:spPr>
                          <a:xfrm>
                            <a:off x="0" y="0"/>
                            <a:ext cx="2360930" cy="1656080"/>
                          </a:xfrm>
                          <a:prstGeom prst="rect">
                            <a:avLst/>
                          </a:prstGeom>
                          <a:noFill/>
                          <a:ln>
                            <a:noFill/>
                          </a:ln>
                        </pic:spPr>
                      </pic:pic>
                    </a:graphicData>
                  </a:graphic>
                </wp:inline>
              </w:drawing>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ind w:left="420" w:leftChars="0"/>
              <w:jc w:val="left"/>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五、查阅公司2021年2022年1-6月能源消费记录（水、电）（由财务岗转）：</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ind w:firstLine="420" w:firstLineChars="200"/>
              <w:jc w:val="left"/>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1、抽查2022年1月至6月水、电消耗</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jc w:val="center"/>
              <w:textAlignment w:val="auto"/>
              <w:rPr>
                <w:rFonts w:hint="eastAsia" w:eastAsia="宋体"/>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3032760" cy="1982470"/>
                  <wp:effectExtent l="0" t="0" r="2540" b="1143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5"/>
                          <a:stretch>
                            <a:fillRect/>
                          </a:stretch>
                        </pic:blipFill>
                        <pic:spPr>
                          <a:xfrm>
                            <a:off x="0" y="0"/>
                            <a:ext cx="3032760" cy="1982470"/>
                          </a:xfrm>
                          <a:prstGeom prst="rect">
                            <a:avLst/>
                          </a:prstGeom>
                          <a:noFill/>
                          <a:ln>
                            <a:noFill/>
                          </a:ln>
                        </pic:spPr>
                      </pic:pic>
                    </a:graphicData>
                  </a:graphic>
                </wp:inline>
              </w:drawing>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drawing>
                <wp:inline distT="0" distB="0" distL="114300" distR="114300">
                  <wp:extent cx="3150235" cy="1899920"/>
                  <wp:effectExtent l="0" t="0" r="12065" b="508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6"/>
                          <a:stretch>
                            <a:fillRect/>
                          </a:stretch>
                        </pic:blipFill>
                        <pic:spPr>
                          <a:xfrm>
                            <a:off x="0" y="0"/>
                            <a:ext cx="3150235" cy="1899920"/>
                          </a:xfrm>
                          <a:prstGeom prst="rect">
                            <a:avLst/>
                          </a:prstGeom>
                          <a:noFill/>
                          <a:ln>
                            <a:noFill/>
                          </a:ln>
                        </pic:spPr>
                      </pic:pic>
                    </a:graphicData>
                  </a:graphic>
                </wp:inline>
              </w:drawing>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jc w:val="center"/>
              <w:textAlignment w:val="auto"/>
              <w:rPr>
                <w:rFonts w:hint="eastAsia" w:eastAsia="宋体"/>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2935605" cy="2043430"/>
                  <wp:effectExtent l="0" t="0" r="10795" b="127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7"/>
                          <a:stretch>
                            <a:fillRect/>
                          </a:stretch>
                        </pic:blipFill>
                        <pic:spPr>
                          <a:xfrm>
                            <a:off x="0" y="0"/>
                            <a:ext cx="2935605" cy="2043430"/>
                          </a:xfrm>
                          <a:prstGeom prst="rect">
                            <a:avLst/>
                          </a:prstGeom>
                          <a:noFill/>
                          <a:ln>
                            <a:noFill/>
                          </a:ln>
                        </pic:spPr>
                      </pic:pic>
                    </a:graphicData>
                  </a:graphic>
                </wp:inline>
              </w:drawing>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drawing>
                <wp:inline distT="0" distB="0" distL="114300" distR="114300">
                  <wp:extent cx="3235960" cy="1918335"/>
                  <wp:effectExtent l="0" t="0" r="2540" b="1206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8"/>
                          <a:stretch>
                            <a:fillRect/>
                          </a:stretch>
                        </pic:blipFill>
                        <pic:spPr>
                          <a:xfrm>
                            <a:off x="0" y="0"/>
                            <a:ext cx="3235960" cy="1918335"/>
                          </a:xfrm>
                          <a:prstGeom prst="rect">
                            <a:avLst/>
                          </a:prstGeom>
                          <a:noFill/>
                          <a:ln>
                            <a:noFill/>
                          </a:ln>
                        </pic:spPr>
                      </pic:pic>
                    </a:graphicData>
                  </a:graphic>
                </wp:inline>
              </w:drawing>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jc w:val="center"/>
              <w:textAlignment w:val="auto"/>
              <w:rPr>
                <w:rFonts w:hint="default"/>
                <w:color w:val="000000" w:themeColor="text1"/>
                <w:sz w:val="21"/>
                <w:szCs w:val="21"/>
                <w:lang w:val="en-US" w:eastAsia="zh-CN"/>
                <w14:textFill>
                  <w14:solidFill>
                    <w14:schemeClr w14:val="tx1"/>
                  </w14:solidFill>
                </w14:textFill>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jc w:val="center"/>
              <w:textAlignment w:val="auto"/>
              <w:rPr>
                <w:rFonts w:hint="eastAsia" w:eastAsia="宋体"/>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2797810" cy="1656715"/>
                  <wp:effectExtent l="0" t="0" r="8890" b="698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9"/>
                          <a:stretch>
                            <a:fillRect/>
                          </a:stretch>
                        </pic:blipFill>
                        <pic:spPr>
                          <a:xfrm>
                            <a:off x="0" y="0"/>
                            <a:ext cx="2797810" cy="1656715"/>
                          </a:xfrm>
                          <a:prstGeom prst="rect">
                            <a:avLst/>
                          </a:prstGeom>
                          <a:noFill/>
                          <a:ln>
                            <a:noFill/>
                          </a:ln>
                        </pic:spPr>
                      </pic:pic>
                    </a:graphicData>
                  </a:graphic>
                </wp:inline>
              </w:drawing>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drawing>
                <wp:inline distT="0" distB="0" distL="114300" distR="114300">
                  <wp:extent cx="3510280" cy="1851660"/>
                  <wp:effectExtent l="0" t="0" r="7620" b="254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0"/>
                          <a:stretch>
                            <a:fillRect/>
                          </a:stretch>
                        </pic:blipFill>
                        <pic:spPr>
                          <a:xfrm>
                            <a:off x="0" y="0"/>
                            <a:ext cx="3510280" cy="1851660"/>
                          </a:xfrm>
                          <a:prstGeom prst="rect">
                            <a:avLst/>
                          </a:prstGeom>
                          <a:noFill/>
                          <a:ln>
                            <a:noFill/>
                          </a:ln>
                        </pic:spPr>
                      </pic:pic>
                    </a:graphicData>
                  </a:graphic>
                </wp:inline>
              </w:drawing>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jc w:val="center"/>
              <w:textAlignment w:val="auto"/>
              <w:rPr>
                <w:rFonts w:hint="default"/>
                <w:color w:val="000000" w:themeColor="text1"/>
                <w:sz w:val="21"/>
                <w:szCs w:val="21"/>
                <w:lang w:val="en-US" w:eastAsia="zh-CN"/>
                <w14:textFill>
                  <w14:solidFill>
                    <w14:schemeClr w14:val="tx1"/>
                  </w14:solidFill>
                </w14:textFill>
              </w:rPr>
            </w:pPr>
          </w:p>
        </w:tc>
        <w:tc>
          <w:tcPr>
            <w:tcW w:w="1213" w:type="dxa"/>
          </w:tcPr>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w:t>
            </w: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default"/>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2160" w:type="dxa"/>
            <w:vAlign w:val="top"/>
          </w:tcPr>
          <w:p>
            <w:pPr>
              <w:rPr>
                <w:rFonts w:hint="default"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color w:val="000000" w:themeColor="text1"/>
                <w:szCs w:val="22"/>
                <w:u w:val="none"/>
                <w:lang w:val="en-US" w:eastAsia="zh-CN"/>
                <w14:textFill>
                  <w14:solidFill>
                    <w14:schemeClr w14:val="tx1"/>
                  </w14:solidFill>
                </w14:textFill>
              </w:rPr>
              <w:t>5文件化信息</w:t>
            </w:r>
          </w:p>
        </w:tc>
        <w:tc>
          <w:tcPr>
            <w:tcW w:w="960" w:type="dxa"/>
            <w:vAlign w:val="top"/>
          </w:tcPr>
          <w:p>
            <w:pPr>
              <w:pStyle w:val="7"/>
              <w:ind w:left="0" w:leftChars="0" w:firstLine="0" w:firstLineChars="0"/>
              <w:rPr>
                <w:rFonts w:hint="default"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color w:val="000000" w:themeColor="text1"/>
                <w:szCs w:val="22"/>
                <w:u w:val="none"/>
                <w:lang w:val="en-US" w:eastAsia="zh-CN"/>
                <w14:textFill>
                  <w14:solidFill>
                    <w14:schemeClr w14:val="tx1"/>
                  </w14:solidFill>
                </w14:textFill>
              </w:rPr>
              <w:t>7.5</w:t>
            </w:r>
          </w:p>
        </w:tc>
        <w:tc>
          <w:tcPr>
            <w:tcW w:w="10376" w:type="dxa"/>
            <w:vAlign w:val="top"/>
          </w:tcPr>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1、提供有《SG/En-CX-09文件控制程序》《SG/En-CX-10记录控制程序》《SG/En-CX-11体系运行控制程序》，经过编审批符合标准要求。</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2、提供</w:t>
            </w:r>
            <w:r>
              <w:rPr>
                <w:rFonts w:hint="eastAsia"/>
                <w:color w:val="000000" w:themeColor="text1"/>
                <w14:textFill>
                  <w14:solidFill>
                    <w14:schemeClr w14:val="tx1"/>
                  </w14:solidFill>
                </w14:textFill>
              </w:rPr>
              <w:t>文件化信息</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《能源管理体系管理手册》文件编号：编 号：SG/En-SC-2021，版本号：A/0，生效日期：2022.1.16，编 制：文件编写小组，审核：陈明，批准：SHEN CHANG。</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程序文件</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共22个，编号：SG/En/CX-01～SG/En/CX-22，版本号：A/0，生效日期：2022.1.16，编 制：文件编写小组，审核：陈明，批准：SHEN CHANG。</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4、与能源相关的管理制度，基本上与其他体系合用，基本符合标准要求。</w:t>
            </w:r>
          </w:p>
          <w:p>
            <w:pPr>
              <w:ind w:firstLine="42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5、提供《管理体系记录清单》，共57个，基本符合标准要求。</w:t>
            </w:r>
          </w:p>
          <w:p>
            <w:pPr>
              <w:ind w:firstLine="42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以上</w:t>
            </w:r>
            <w:r>
              <w:rPr>
                <w:rFonts w:hint="eastAsia"/>
                <w:color w:val="000000" w:themeColor="text1"/>
                <w:lang w:eastAsia="zh-CN"/>
                <w14:textFill>
                  <w14:solidFill>
                    <w14:schemeClr w14:val="tx1"/>
                  </w14:solidFill>
                </w14:textFill>
              </w:rPr>
              <w:t>有发布，实施。有编审批。确保了其适宜性和充分性</w:t>
            </w:r>
            <w:r>
              <w:rPr>
                <w:rFonts w:hint="eastAsia"/>
                <w:color w:val="000000" w:themeColor="text1"/>
                <w14:textFill>
                  <w14:solidFill>
                    <w14:schemeClr w14:val="tx1"/>
                  </w14:solidFill>
                </w14:textFill>
              </w:rPr>
              <w:t>。</w:t>
            </w:r>
          </w:p>
          <w:p>
            <w:pPr>
              <w:ind w:firstLine="42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6、查阅有相应的外来文件，包括法律法规及其它要求清单。</w:t>
            </w:r>
          </w:p>
          <w:p>
            <w:pPr>
              <w:pStyle w:val="7"/>
              <w:numPr>
                <w:ilvl w:val="0"/>
                <w:numId w:val="4"/>
              </w:numPr>
              <w:ind w:left="620" w:leftChars="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查阅相应的文件收集、发放记录。</w:t>
            </w:r>
          </w:p>
          <w:p>
            <w:pPr>
              <w:ind w:firstLine="42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8、查阅提供的体系文件都是现行有效的。</w:t>
            </w:r>
          </w:p>
          <w:p>
            <w:pPr>
              <w:pStyle w:val="3"/>
              <w:keepNext w:val="0"/>
              <w:keepLines w:val="0"/>
              <w:pageBreakBefore w:val="0"/>
              <w:widowControl w:val="0"/>
              <w:kinsoku/>
              <w:wordWrap/>
              <w:overflowPunct/>
              <w:topLinePunct w:val="0"/>
              <w:autoSpaceDE w:val="0"/>
              <w:autoSpaceDN w:val="0"/>
              <w:bidi w:val="0"/>
              <w:adjustRightInd/>
              <w:snapToGrid/>
              <w:spacing w:before="0"/>
              <w:ind w:left="0" w:leftChars="0" w:firstLine="420" w:firstLineChars="200"/>
              <w:jc w:val="both"/>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抽查部分记录清单：查看编号为：QR-7.2-01《XXXX年度培训记录》，有效。</w:t>
            </w:r>
          </w:p>
          <w:p>
            <w:pPr>
              <w:pStyle w:val="3"/>
              <w:keepNext w:val="0"/>
              <w:keepLines w:val="0"/>
              <w:pageBreakBefore w:val="0"/>
              <w:widowControl w:val="0"/>
              <w:kinsoku/>
              <w:wordWrap/>
              <w:overflowPunct/>
              <w:topLinePunct w:val="0"/>
              <w:autoSpaceDE w:val="0"/>
              <w:autoSpaceDN w:val="0"/>
              <w:bidi w:val="0"/>
              <w:adjustRightInd/>
              <w:snapToGrid/>
              <w:spacing w:before="0"/>
              <w:ind w:left="0" w:leftChars="0" w:firstLine="420" w:firstLineChars="200"/>
              <w:jc w:val="both"/>
              <w:textAlignment w:val="auto"/>
              <w:rPr>
                <w:rFonts w:hint="eastAsia"/>
                <w:color w:val="000000" w:themeColor="text1"/>
                <w:sz w:val="21"/>
                <w:szCs w:val="21"/>
                <w:lang w:val="en-US" w:eastAsia="zh-CN"/>
                <w14:textFill>
                  <w14:solidFill>
                    <w14:schemeClr w14:val="tx1"/>
                  </w14:solidFill>
                </w14:textFill>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ind w:leftChars="0"/>
              <w:jc w:val="both"/>
              <w:textAlignment w:val="auto"/>
              <w:rPr>
                <w:rFonts w:hint="default"/>
                <w:color w:val="000000" w:themeColor="text1"/>
                <w:sz w:val="21"/>
                <w:szCs w:val="21"/>
                <w:lang w:val="en-US" w:eastAsia="zh-CN"/>
                <w14:textFill>
                  <w14:solidFill>
                    <w14:schemeClr w14:val="tx1"/>
                  </w14:solidFill>
                </w14:textFill>
              </w:rPr>
            </w:pPr>
          </w:p>
        </w:tc>
        <w:tc>
          <w:tcPr>
            <w:tcW w:w="1213" w:type="dxa"/>
          </w:tcPr>
          <w:p>
            <w:pP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w:t>
            </w: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rFonts w:hint="eastAsia" w:eastAsia="宋体"/>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2160" w:type="dxa"/>
            <w:vAlign w:val="top"/>
          </w:tcPr>
          <w:p>
            <w:pPr>
              <w:pStyle w:val="3"/>
              <w:numPr>
                <w:ilvl w:val="0"/>
                <w:numId w:val="0"/>
              </w:numPr>
              <w:ind w:left="0" w:leftChars="0" w:firstLine="0" w:firstLineChars="0"/>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2"/>
                <w:lang w:val="en-US" w:eastAsia="zh-CN" w:bidi="ar-SA"/>
                <w14:textFill>
                  <w14:solidFill>
                    <w14:schemeClr w14:val="tx1"/>
                  </w14:solidFill>
                </w14:textFill>
              </w:rPr>
              <w:t>6内部审核</w:t>
            </w:r>
          </w:p>
        </w:tc>
        <w:tc>
          <w:tcPr>
            <w:tcW w:w="960" w:type="dxa"/>
            <w:vAlign w:val="top"/>
          </w:tcPr>
          <w:p>
            <w:pPr>
              <w:pStyle w:val="7"/>
              <w:ind w:left="0" w:leftChars="0" w:firstLine="0" w:firstLineChars="0"/>
              <w:rPr>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9.2</w:t>
            </w:r>
          </w:p>
        </w:tc>
        <w:tc>
          <w:tcPr>
            <w:tcW w:w="10376" w:type="dxa"/>
            <w:vAlign w:val="top"/>
          </w:tcPr>
          <w:p>
            <w:pPr>
              <w:pStyle w:val="3"/>
              <w:keepNext w:val="0"/>
              <w:keepLines w:val="0"/>
              <w:pageBreakBefore w:val="0"/>
              <w:widowControl w:val="0"/>
              <w:numPr>
                <w:ilvl w:val="0"/>
                <w:numId w:val="5"/>
              </w:numPr>
              <w:kinsoku/>
              <w:wordWrap/>
              <w:overflowPunct/>
              <w:topLinePunct w:val="0"/>
              <w:autoSpaceDE w:val="0"/>
              <w:autoSpaceDN w:val="0"/>
              <w:bidi w:val="0"/>
              <w:adjustRightInd/>
              <w:snapToGrid/>
              <w:spacing w:before="0"/>
              <w:ind w:left="480" w:leftChars="0" w:firstLine="0" w:firstLineChars="0"/>
              <w:jc w:val="both"/>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提供《SLDK/En-CX-20内部审核程序》，有编审批，符合标准要求与企业实际。</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ind w:left="480" w:leftChars="0"/>
              <w:jc w:val="both"/>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2、提供有“内审计划”，公司与202</w:t>
            </w:r>
            <w:r>
              <w:rPr>
                <w:rFonts w:hint="eastAsia"/>
                <w:color w:val="000000" w:themeColor="text1"/>
                <w:sz w:val="21"/>
                <w:szCs w:val="21"/>
                <w:lang w:val="en-US" w:eastAsia="zh-CN"/>
                <w14:textFill>
                  <w14:solidFill>
                    <w14:schemeClr w14:val="tx1"/>
                  </w14:solidFill>
                </w14:textFill>
              </w:rPr>
              <w:t>2</w:t>
            </w:r>
            <w:r>
              <w:rPr>
                <w:rFonts w:hint="default"/>
                <w:color w:val="000000" w:themeColor="text1"/>
                <w:sz w:val="21"/>
                <w:szCs w:val="21"/>
                <w:lang w:val="en-US" w:eastAsia="zh-CN"/>
                <w14:textFill>
                  <w14:solidFill>
                    <w14:schemeClr w14:val="tx1"/>
                  </w14:solidFill>
                </w14:textFill>
              </w:rPr>
              <w:t>年</w:t>
            </w:r>
            <w:r>
              <w:rPr>
                <w:rFonts w:hint="eastAsia"/>
                <w:color w:val="000000" w:themeColor="text1"/>
                <w:sz w:val="21"/>
                <w:szCs w:val="21"/>
                <w:lang w:val="en-US" w:eastAsia="zh-CN"/>
                <w14:textFill>
                  <w14:solidFill>
                    <w14:schemeClr w14:val="tx1"/>
                  </w14:solidFill>
                </w14:textFill>
              </w:rPr>
              <w:t>4月6日</w:t>
            </w:r>
            <w:r>
              <w:rPr>
                <w:rFonts w:hint="default"/>
                <w:color w:val="000000" w:themeColor="text1"/>
                <w:sz w:val="21"/>
                <w:szCs w:val="21"/>
                <w:lang w:val="en-US" w:eastAsia="zh-CN"/>
                <w14:textFill>
                  <w14:solidFill>
                    <w14:schemeClr w14:val="tx1"/>
                  </w14:solidFill>
                </w14:textFill>
              </w:rPr>
              <w:t>进行了一次能源管理体系的内审。</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ind w:firstLine="420" w:firstLineChars="200"/>
              <w:jc w:val="both"/>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受审对象：</w:t>
            </w:r>
            <w:r>
              <w:rPr>
                <w:rFonts w:hint="eastAsia" w:ascii="宋体" w:hAnsi="宋体" w:eastAsia="宋体" w:cs="宋体"/>
                <w:color w:val="000000" w:themeColor="text1"/>
                <w:sz w:val="21"/>
                <w:szCs w:val="21"/>
                <w:lang w:val="en-US" w:eastAsia="zh-CN"/>
                <w14:textFill>
                  <w14:solidFill>
                    <w14:schemeClr w14:val="tx1"/>
                  </w14:solidFill>
                </w14:textFill>
              </w:rPr>
              <w:t>管理层、管理部、技术中心、销售部、生产部、采购部等</w:t>
            </w:r>
            <w:r>
              <w:rPr>
                <w:rFonts w:hint="default" w:ascii="宋体" w:hAnsi="宋体" w:eastAsia="宋体" w:cs="宋体"/>
                <w:color w:val="000000" w:themeColor="text1"/>
                <w:sz w:val="21"/>
                <w:szCs w:val="21"/>
                <w:lang w:val="en-US" w:eastAsia="zh-CN"/>
                <w14:textFill>
                  <w14:solidFill>
                    <w14:schemeClr w14:val="tx1"/>
                  </w14:solidFill>
                </w14:textFill>
              </w:rPr>
              <w:t>。</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ind w:firstLine="420" w:firstLineChars="200"/>
              <w:jc w:val="both"/>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审核依据：ISO50001:2018《能源管理体系 要求》</w:t>
            </w:r>
            <w:r>
              <w:rPr>
                <w:rFonts w:hint="eastAsia"/>
                <w:color w:val="000000" w:themeColor="text1"/>
                <w:sz w:val="21"/>
                <w:szCs w:val="21"/>
                <w:lang w:val="en-US" w:eastAsia="zh-CN"/>
                <w14:textFill>
                  <w14:solidFill>
                    <w14:schemeClr w14:val="tx1"/>
                  </w14:solidFill>
                </w14:textFill>
              </w:rPr>
              <w:t>、</w:t>
            </w:r>
            <w:r>
              <w:rPr>
                <w:rFonts w:hint="default"/>
                <w:color w:val="000000" w:themeColor="text1"/>
                <w:sz w:val="21"/>
                <w:szCs w:val="21"/>
                <w:lang w:val="en-US" w:eastAsia="zh-CN"/>
                <w14:textFill>
                  <w14:solidFill>
                    <w14:schemeClr w14:val="tx1"/>
                  </w14:solidFill>
                </w14:textFill>
              </w:rPr>
              <w:t>法律法规、标准和其他要求</w:t>
            </w:r>
            <w:r>
              <w:rPr>
                <w:rFonts w:hint="eastAsia"/>
                <w:color w:val="000000" w:themeColor="text1"/>
                <w:sz w:val="21"/>
                <w:szCs w:val="21"/>
                <w:lang w:val="en-US" w:eastAsia="zh-CN"/>
                <w14:textFill>
                  <w14:solidFill>
                    <w14:schemeClr w14:val="tx1"/>
                  </w14:solidFill>
                </w14:textFill>
              </w:rPr>
              <w:t>、</w:t>
            </w:r>
            <w:r>
              <w:rPr>
                <w:rFonts w:hint="default"/>
                <w:color w:val="000000" w:themeColor="text1"/>
                <w:sz w:val="21"/>
                <w:szCs w:val="21"/>
                <w:lang w:val="en-US" w:eastAsia="zh-CN"/>
                <w14:textFill>
                  <w14:solidFill>
                    <w14:schemeClr w14:val="tx1"/>
                  </w14:solidFill>
                </w14:textFill>
              </w:rPr>
              <w:t>能源管理手册、能源程序文件及文件、记录等。</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ind w:firstLine="420" w:firstLineChars="200"/>
              <w:jc w:val="both"/>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审核目的：审核公司在运行能源管理体系过程中是否存在问题有无改进的机会，确定能源管理体系的符合性和有效性。</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ind w:firstLine="420" w:firstLineChars="200"/>
              <w:jc w:val="both"/>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 xml:space="preserve">审核范围: </w:t>
            </w:r>
            <w:r>
              <w:rPr>
                <w:rFonts w:hint="eastAsia"/>
                <w:color w:val="000000" w:themeColor="text1"/>
                <w:sz w:val="20"/>
                <w:szCs w:val="22"/>
                <w:lang w:val="en-US" w:eastAsia="zh-CN"/>
                <w14:textFill>
                  <w14:solidFill>
                    <w14:schemeClr w14:val="tx1"/>
                  </w14:solidFill>
                </w14:textFill>
              </w:rPr>
              <w:t>位于：成都浩朗科技园2区第301,501号的成都声立德克技术有限公司的超声波水表、超声波热能表的组装；计算机信息系统集成所涉及的能源管理活动</w:t>
            </w:r>
            <w:r>
              <w:rPr>
                <w:rFonts w:hint="eastAsia"/>
                <w:color w:val="000000" w:themeColor="text1"/>
                <w:sz w:val="21"/>
                <w:szCs w:val="21"/>
                <w:lang w:val="en-US" w:eastAsia="zh-CN"/>
                <w14:textFill>
                  <w14:solidFill>
                    <w14:schemeClr w14:val="tx1"/>
                  </w14:solidFill>
                </w14:textFill>
              </w:rPr>
              <w:t>。</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ind w:firstLine="420" w:firstLineChars="200"/>
              <w:jc w:val="both"/>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审核组成员：组长</w:t>
            </w:r>
            <w:r>
              <w:rPr>
                <w:rFonts w:hint="eastAsia"/>
                <w:color w:val="000000" w:themeColor="text1"/>
                <w:sz w:val="21"/>
                <w:szCs w:val="21"/>
                <w:lang w:val="en-US" w:eastAsia="zh-CN"/>
                <w14:textFill>
                  <w14:solidFill>
                    <w14:schemeClr w14:val="tx1"/>
                  </w14:solidFill>
                </w14:textFill>
              </w:rPr>
              <w:t>：陈明，</w:t>
            </w:r>
            <w:r>
              <w:rPr>
                <w:rFonts w:hint="default"/>
                <w:color w:val="000000" w:themeColor="text1"/>
                <w:sz w:val="21"/>
                <w:szCs w:val="21"/>
                <w:lang w:val="en-US" w:eastAsia="zh-CN"/>
                <w14:textFill>
                  <w14:solidFill>
                    <w14:schemeClr w14:val="tx1"/>
                  </w14:solidFill>
                </w14:textFill>
              </w:rPr>
              <w:t>审核员</w:t>
            </w:r>
            <w:r>
              <w:rPr>
                <w:rFonts w:hint="eastAsia"/>
                <w:color w:val="000000" w:themeColor="text1"/>
                <w:sz w:val="21"/>
                <w:szCs w:val="21"/>
                <w:lang w:val="en-US" w:eastAsia="zh-CN"/>
                <w14:textFill>
                  <w14:solidFill>
                    <w14:schemeClr w14:val="tx1"/>
                  </w14:solidFill>
                </w14:textFill>
              </w:rPr>
              <w:t>：肖林</w:t>
            </w:r>
            <w:r>
              <w:rPr>
                <w:rFonts w:hint="default"/>
                <w:color w:val="000000" w:themeColor="text1"/>
                <w:sz w:val="21"/>
                <w:szCs w:val="21"/>
                <w:lang w:val="en-US" w:eastAsia="zh-CN"/>
                <w14:textFill>
                  <w14:solidFill>
                    <w14:schemeClr w14:val="tx1"/>
                  </w14:solidFill>
                </w14:textFill>
              </w:rPr>
              <w:t>。内审员均经过内审员培训。</w:t>
            </w:r>
          </w:p>
          <w:p>
            <w:pPr>
              <w:pStyle w:val="3"/>
              <w:keepNext w:val="0"/>
              <w:keepLines w:val="0"/>
              <w:pageBreakBefore w:val="0"/>
              <w:widowControl w:val="0"/>
              <w:numPr>
                <w:ilvl w:val="0"/>
                <w:numId w:val="5"/>
              </w:numPr>
              <w:kinsoku/>
              <w:wordWrap/>
              <w:overflowPunct/>
              <w:topLinePunct w:val="0"/>
              <w:autoSpaceDE w:val="0"/>
              <w:autoSpaceDN w:val="0"/>
              <w:bidi w:val="0"/>
              <w:adjustRightInd/>
              <w:snapToGrid/>
              <w:spacing w:before="0"/>
              <w:ind w:left="480" w:leftChars="0" w:firstLine="0" w:firstLineChars="0"/>
              <w:jc w:val="both"/>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提供</w:t>
            </w:r>
            <w:r>
              <w:rPr>
                <w:rFonts w:hint="eastAsia" w:cs="宋体"/>
                <w:color w:val="000000" w:themeColor="text1"/>
                <w:sz w:val="21"/>
                <w:szCs w:val="21"/>
                <w:lang w:val="en-US" w:eastAsia="zh-CN"/>
                <w14:textFill>
                  <w14:solidFill>
                    <w14:schemeClr w14:val="tx1"/>
                  </w14:solidFill>
                </w14:textFill>
              </w:rPr>
              <w:t>能源内部审核首末次</w:t>
            </w:r>
            <w:r>
              <w:rPr>
                <w:rFonts w:hint="default" w:ascii="宋体" w:hAnsi="宋体" w:eastAsia="宋体" w:cs="宋体"/>
                <w:color w:val="000000" w:themeColor="text1"/>
                <w:sz w:val="21"/>
                <w:szCs w:val="21"/>
                <w:lang w:val="en-US" w:eastAsia="zh-CN"/>
                <w14:textFill>
                  <w14:solidFill>
                    <w14:schemeClr w14:val="tx1"/>
                  </w14:solidFill>
                </w14:textFill>
              </w:rPr>
              <w:t>会议签到表：</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1404620" cy="1644650"/>
                  <wp:effectExtent l="0" t="0" r="5080" b="635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1"/>
                          <a:stretch>
                            <a:fillRect/>
                          </a:stretch>
                        </pic:blipFill>
                        <pic:spPr>
                          <a:xfrm>
                            <a:off x="0" y="0"/>
                            <a:ext cx="1404620" cy="1644650"/>
                          </a:xfrm>
                          <a:prstGeom prst="rect">
                            <a:avLst/>
                          </a:prstGeom>
                          <a:noFill/>
                          <a:ln>
                            <a:noFill/>
                          </a:ln>
                        </pic:spPr>
                      </pic:pic>
                    </a:graphicData>
                  </a:graphic>
                </wp:inline>
              </w:drawing>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ind w:left="0" w:left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object>
                <v:shape id="_x0000_i1028" o:spt="75" type="#_x0000_t75" style="height:0.15pt;width:0.15pt;" o:ole="t" filled="f" o:preferrelative="t" stroked="f" coordsize="21600,21600">
                  <v:path/>
                  <v:fill on="f" focussize="0,0"/>
                  <v:stroke on="f"/>
                  <v:imagedata r:id="rId23" o:title=""/>
                  <o:lock v:ext="edit" aspectratio="t"/>
                  <w10:wrap type="none"/>
                  <w10:anchorlock/>
                </v:shape>
                <o:OLEObject Type="Embed" ProgID="FoxitReader.Document" ShapeID="_x0000_i1028" DrawAspect="Content" ObjectID="_1468075725" r:id="rId22">
                  <o:LockedField>false</o:LockedField>
                </o:OLEObject>
              </w:object>
            </w:r>
            <w:r>
              <w:rPr>
                <w:rFonts w:hint="eastAsia"/>
                <w:color w:val="000000" w:themeColor="text1"/>
                <w:sz w:val="21"/>
                <w:szCs w:val="21"/>
                <w:lang w:val="en-US" w:eastAsia="zh-CN"/>
                <w14:textFill>
                  <w14:solidFill>
                    <w14:schemeClr w14:val="tx1"/>
                  </w14:solidFill>
                </w14:textFill>
              </w:rPr>
              <w:object>
                <v:shape id="_x0000_i1029" o:spt="75" type="#_x0000_t75" style="height:0.15pt;width:0.15pt;" o:ole="t" filled="f" o:preferrelative="t" stroked="f" coordsize="21600,21600">
                  <v:path/>
                  <v:fill on="f" focussize="0,0"/>
                  <v:stroke on="f"/>
                  <v:imagedata r:id="rId23" o:title=""/>
                  <o:lock v:ext="edit" aspectratio="t"/>
                  <w10:wrap type="none"/>
                  <w10:anchorlock/>
                </v:shape>
                <o:OLEObject Type="Embed" ProgID="FoxitReader.Document" ShapeID="_x0000_i1029" DrawAspect="Content" ObjectID="_1468075726" r:id="rId24">
                  <o:LockedField>false</o:LockedField>
                </o:OLEObject>
              </w:object>
            </w:r>
            <w:r>
              <w:rPr>
                <w:rFonts w:hint="eastAsia"/>
                <w:color w:val="000000" w:themeColor="text1"/>
                <w:sz w:val="21"/>
                <w:szCs w:val="21"/>
                <w:lang w:val="en-US" w:eastAsia="zh-CN"/>
                <w14:textFill>
                  <w14:solidFill>
                    <w14:schemeClr w14:val="tx1"/>
                  </w14:solidFill>
                </w14:textFill>
              </w:rPr>
              <w:object>
                <v:shape id="_x0000_i1030" o:spt="75" type="#_x0000_t75" style="height:0.15pt;width:0.15pt;" o:ole="t" filled="f" o:preferrelative="t" stroked="f" coordsize="21600,21600">
                  <v:path/>
                  <v:fill on="f" focussize="0,0"/>
                  <v:stroke on="f"/>
                  <v:imagedata r:id="rId23" o:title=""/>
                  <o:lock v:ext="edit" aspectratio="t"/>
                  <w10:wrap type="none"/>
                  <w10:anchorlock/>
                </v:shape>
                <o:OLEObject Type="Embed" ProgID="FoxitReader.Document" ShapeID="_x0000_i1030" DrawAspect="Content" ObjectID="_1468075727" r:id="rId25">
                  <o:LockedField>false</o:LockedField>
                </o:OLEObject>
              </w:objec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ind w:firstLine="420" w:firstLineChars="200"/>
              <w:jc w:val="both"/>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r>
              <w:rPr>
                <w:rFonts w:hint="default"/>
                <w:color w:val="000000" w:themeColor="text1"/>
                <w:sz w:val="21"/>
                <w:szCs w:val="21"/>
                <w:lang w:val="en-US" w:eastAsia="zh-CN"/>
                <w14:textFill>
                  <w14:solidFill>
                    <w14:schemeClr w14:val="tx1"/>
                  </w14:solidFill>
                </w14:textFill>
              </w:rPr>
              <w:t>抽查对</w:t>
            </w:r>
            <w:r>
              <w:rPr>
                <w:rFonts w:hint="eastAsia"/>
                <w:color w:val="000000" w:themeColor="text1"/>
                <w:sz w:val="21"/>
                <w:szCs w:val="21"/>
                <w:lang w:val="en-US" w:eastAsia="zh-CN"/>
                <w14:textFill>
                  <w14:solidFill>
                    <w14:schemeClr w14:val="tx1"/>
                  </w14:solidFill>
                </w14:textFill>
              </w:rPr>
              <w:t>领导层</w:t>
            </w:r>
            <w:r>
              <w:rPr>
                <w:rFonts w:hint="default"/>
                <w:color w:val="000000" w:themeColor="text1"/>
                <w:sz w:val="21"/>
                <w:szCs w:val="21"/>
                <w:lang w:val="en-US" w:eastAsia="zh-CN"/>
                <w14:textFill>
                  <w14:solidFill>
                    <w14:schemeClr w14:val="tx1"/>
                  </w14:solidFill>
                </w14:textFill>
              </w:rPr>
              <w:t>的审核，</w:t>
            </w:r>
            <w:r>
              <w:rPr>
                <w:rFonts w:hint="eastAsia"/>
                <w:color w:val="000000" w:themeColor="text1"/>
                <w:sz w:val="21"/>
                <w:szCs w:val="21"/>
                <w:lang w:val="en-US" w:eastAsia="zh-CN"/>
                <w14:textFill>
                  <w14:solidFill>
                    <w14:schemeClr w14:val="tx1"/>
                  </w14:solidFill>
                </w14:textFill>
              </w:rPr>
              <w:t>内审员：肖林，2022年4月6日8:30-12:00，审核条款：4.1/4.2/4.3/4.4/5.1/5.2/7.1/9.3/10.2。</w:t>
            </w:r>
            <w:r>
              <w:rPr>
                <w:rFonts w:hint="default"/>
                <w:color w:val="000000" w:themeColor="text1"/>
                <w:sz w:val="21"/>
                <w:szCs w:val="21"/>
                <w:lang w:val="en-US" w:eastAsia="zh-CN"/>
                <w14:textFill>
                  <w14:solidFill>
                    <w14:schemeClr w14:val="tx1"/>
                  </w14:solidFill>
                </w14:textFill>
              </w:rPr>
              <w:t>基本符合标准要求。</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ind w:firstLine="420" w:firstLineChars="200"/>
              <w:jc w:val="both"/>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r>
              <w:rPr>
                <w:rFonts w:hint="default"/>
                <w:color w:val="000000" w:themeColor="text1"/>
                <w:sz w:val="21"/>
                <w:szCs w:val="21"/>
                <w:lang w:val="en-US" w:eastAsia="zh-CN"/>
                <w14:textFill>
                  <w14:solidFill>
                    <w14:schemeClr w14:val="tx1"/>
                  </w14:solidFill>
                </w14:textFill>
              </w:rPr>
              <w:t>内部审核发现1个不符合项</w:t>
            </w:r>
            <w:r>
              <w:rPr>
                <w:rFonts w:hint="eastAsia"/>
                <w:color w:val="000000" w:themeColor="text1"/>
                <w:sz w:val="21"/>
                <w:szCs w:val="21"/>
                <w:lang w:val="en-US" w:eastAsia="zh-CN"/>
                <w14:textFill>
                  <w14:solidFill>
                    <w14:schemeClr w14:val="tx1"/>
                  </w14:solidFill>
                </w14:textFill>
              </w:rPr>
              <w:t>（为一般不符合）,5个问题。不符合开在管理部，为一般不符合。有不符合事实描述，有纠正措施，有验证，基本符合标准要求。</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ind w:left="0" w:leftChars="0" w:firstLine="420" w:firstLineChars="200"/>
              <w:jc w:val="both"/>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r>
              <w:rPr>
                <w:rFonts w:hint="default"/>
                <w:color w:val="000000" w:themeColor="text1"/>
                <w:sz w:val="21"/>
                <w:szCs w:val="21"/>
                <w:lang w:val="en-US" w:eastAsia="zh-CN"/>
                <w14:textFill>
                  <w14:solidFill>
                    <w14:schemeClr w14:val="tx1"/>
                  </w14:solidFill>
                </w14:textFill>
              </w:rPr>
              <w:t>提供有“内审报告”，对体系的评价（包括：文件化体系与标准的符合程度、实施效果、发现和改进体系运行的机制及措施等）：</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ind w:left="0" w:leftChars="0" w:firstLine="420" w:firstLineChars="200"/>
              <w:jc w:val="both"/>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就已审条款结果看，公司能源管理体系符合标准及相关文件的要求，能源管理体系得到了有效实施。</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ind w:left="0" w:leftChars="0" w:firstLine="420" w:firstLineChars="200"/>
              <w:jc w:val="both"/>
              <w:textAlignment w:val="auto"/>
              <w:rPr>
                <w:rFonts w:hint="default" w:ascii="宋体" w:hAnsi="宋体" w:eastAsia="宋体" w:cs="宋体"/>
                <w:color w:val="000000" w:themeColor="text1"/>
                <w:kern w:val="0"/>
                <w:sz w:val="21"/>
                <w:szCs w:val="21"/>
                <w:lang w:val="en-US" w:eastAsia="zh-CN" w:bidi="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r>
              <w:rPr>
                <w:rFonts w:hint="default"/>
                <w:color w:val="000000" w:themeColor="text1"/>
                <w:sz w:val="21"/>
                <w:szCs w:val="21"/>
                <w:lang w:val="en-US" w:eastAsia="zh-CN"/>
                <w14:textFill>
                  <w14:solidFill>
                    <w14:schemeClr w14:val="tx1"/>
                  </w14:solidFill>
                </w14:textFill>
              </w:rPr>
              <w:t>、结论：公司能源管理体系运行符合标准要求，适宜公司现状，能源管理体系运行有效，ISO50001：2018标准相关要求在公司得到了有效的执行。</w:t>
            </w:r>
          </w:p>
        </w:tc>
        <w:tc>
          <w:tcPr>
            <w:tcW w:w="1213" w:type="dxa"/>
          </w:tcPr>
          <w:p>
            <w:pPr>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Y</w:t>
            </w: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b/>
                <w:bCs/>
                <w:color w:val="000000" w:themeColor="text1"/>
                <w:lang w:val="en-US" w:eastAsia="zh-CN"/>
                <w14:textFill>
                  <w14:solidFill>
                    <w14:schemeClr w14:val="tx1"/>
                  </w14:solidFill>
                </w14:textFill>
              </w:rPr>
            </w:pPr>
          </w:p>
          <w:p>
            <w:pPr>
              <w:rPr>
                <w:rFonts w:hint="eastAsia" w:eastAsia="宋体"/>
                <w:b/>
                <w:bCs/>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2160" w:type="dxa"/>
            <w:vAlign w:val="top"/>
          </w:tcPr>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jc w:val="both"/>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7.不符合与纠正措施</w:t>
            </w:r>
          </w:p>
        </w:tc>
        <w:tc>
          <w:tcPr>
            <w:tcW w:w="960" w:type="dxa"/>
            <w:vAlign w:val="top"/>
          </w:tcPr>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jc w:val="both"/>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10.1</w:t>
            </w:r>
          </w:p>
        </w:tc>
        <w:tc>
          <w:tcPr>
            <w:tcW w:w="10376" w:type="dxa"/>
            <w:vAlign w:val="top"/>
          </w:tcPr>
          <w:p>
            <w:pPr>
              <w:pStyle w:val="3"/>
              <w:keepNext w:val="0"/>
              <w:keepLines w:val="0"/>
              <w:pageBreakBefore w:val="0"/>
              <w:widowControl w:val="0"/>
              <w:numPr>
                <w:ilvl w:val="0"/>
                <w:numId w:val="6"/>
              </w:numPr>
              <w:kinsoku/>
              <w:wordWrap/>
              <w:overflowPunct/>
              <w:topLinePunct w:val="0"/>
              <w:autoSpaceDE w:val="0"/>
              <w:autoSpaceDN w:val="0"/>
              <w:bidi w:val="0"/>
              <w:adjustRightInd/>
              <w:snapToGrid/>
              <w:spacing w:before="0"/>
              <w:ind w:left="0" w:leftChars="0" w:firstLine="420" w:firstLineChars="200"/>
              <w:jc w:val="both"/>
              <w:textAlignment w:val="auto"/>
              <w:rPr>
                <w:rFonts w:hint="eastAsia" w:cs="宋体"/>
                <w:color w:val="000000" w:themeColor="text1"/>
                <w:kern w:val="0"/>
                <w:sz w:val="21"/>
                <w:szCs w:val="21"/>
                <w:lang w:val="en-US" w:eastAsia="zh-CN" w:bidi="zh-CN"/>
                <w14:textFill>
                  <w14:solidFill>
                    <w14:schemeClr w14:val="tx1"/>
                  </w14:solidFill>
                </w14:textFill>
              </w:rPr>
            </w:pPr>
            <w:r>
              <w:rPr>
                <w:rFonts w:hint="eastAsia" w:cs="宋体"/>
                <w:color w:val="000000" w:themeColor="text1"/>
                <w:kern w:val="0"/>
                <w:sz w:val="21"/>
                <w:szCs w:val="21"/>
                <w:lang w:val="en-US" w:eastAsia="zh-CN" w:bidi="zh-CN"/>
                <w14:textFill>
                  <w14:solidFill>
                    <w14:schemeClr w14:val="tx1"/>
                  </w14:solidFill>
                </w14:textFill>
              </w:rPr>
              <w:t>《SLDK/En-CX-22不符合及纠正措施控制程序》，有编审批，符合标准要求。</w:t>
            </w:r>
          </w:p>
          <w:p>
            <w:pPr>
              <w:pStyle w:val="3"/>
              <w:keepNext w:val="0"/>
              <w:keepLines w:val="0"/>
              <w:pageBreakBefore w:val="0"/>
              <w:widowControl w:val="0"/>
              <w:numPr>
                <w:ilvl w:val="0"/>
                <w:numId w:val="6"/>
              </w:numPr>
              <w:kinsoku/>
              <w:wordWrap/>
              <w:overflowPunct/>
              <w:topLinePunct w:val="0"/>
              <w:autoSpaceDE w:val="0"/>
              <w:autoSpaceDN w:val="0"/>
              <w:bidi w:val="0"/>
              <w:adjustRightInd/>
              <w:snapToGrid/>
              <w:spacing w:before="0"/>
              <w:ind w:left="0" w:leftChars="0" w:firstLine="420" w:firstLineChars="200"/>
              <w:jc w:val="both"/>
              <w:textAlignment w:val="auto"/>
              <w:rPr>
                <w:rFonts w:hint="default" w:cs="宋体"/>
                <w:color w:val="000000" w:themeColor="text1"/>
                <w:kern w:val="0"/>
                <w:sz w:val="21"/>
                <w:szCs w:val="21"/>
                <w:lang w:val="en-US" w:eastAsia="zh-CN" w:bidi="zh-CN"/>
                <w14:textFill>
                  <w14:solidFill>
                    <w14:schemeClr w14:val="tx1"/>
                  </w14:solidFill>
                </w14:textFill>
              </w:rPr>
            </w:pPr>
            <w:r>
              <w:rPr>
                <w:rFonts w:hint="default" w:cs="宋体"/>
                <w:color w:val="000000" w:themeColor="text1"/>
                <w:kern w:val="0"/>
                <w:sz w:val="21"/>
                <w:szCs w:val="21"/>
                <w:lang w:val="en-US" w:eastAsia="zh-CN" w:bidi="zh-CN"/>
                <w14:textFill>
                  <w14:solidFill>
                    <w14:schemeClr w14:val="tx1"/>
                  </w14:solidFill>
                </w14:textFill>
              </w:rPr>
              <w:t>本部门要求员工照明灯不用时及时将电源关闭， 电脑不使用时及时将电源关闭，电脑设置休眠功能， 夏天空调设置26度以上。</w:t>
            </w:r>
          </w:p>
          <w:p>
            <w:pPr>
              <w:pStyle w:val="3"/>
              <w:keepNext w:val="0"/>
              <w:keepLines w:val="0"/>
              <w:pageBreakBefore w:val="0"/>
              <w:widowControl w:val="0"/>
              <w:numPr>
                <w:ilvl w:val="0"/>
                <w:numId w:val="6"/>
              </w:numPr>
              <w:kinsoku/>
              <w:wordWrap/>
              <w:overflowPunct/>
              <w:topLinePunct w:val="0"/>
              <w:autoSpaceDE w:val="0"/>
              <w:autoSpaceDN w:val="0"/>
              <w:bidi w:val="0"/>
              <w:adjustRightInd/>
              <w:snapToGrid/>
              <w:spacing w:before="0"/>
              <w:ind w:left="0" w:leftChars="0" w:firstLine="420" w:firstLineChars="200"/>
              <w:jc w:val="both"/>
              <w:textAlignment w:val="auto"/>
              <w:rPr>
                <w:rFonts w:hint="default" w:cs="宋体"/>
                <w:color w:val="000000" w:themeColor="text1"/>
                <w:kern w:val="0"/>
                <w:sz w:val="21"/>
                <w:szCs w:val="21"/>
                <w:lang w:val="en-US" w:eastAsia="zh-CN" w:bidi="zh-CN"/>
                <w14:textFill>
                  <w14:solidFill>
                    <w14:schemeClr w14:val="tx1"/>
                  </w14:solidFill>
                </w14:textFill>
              </w:rPr>
            </w:pPr>
            <w:r>
              <w:rPr>
                <w:rFonts w:hint="default" w:cs="宋体"/>
                <w:color w:val="000000" w:themeColor="text1"/>
                <w:kern w:val="0"/>
                <w:sz w:val="21"/>
                <w:szCs w:val="21"/>
                <w:lang w:val="en-US" w:eastAsia="zh-CN" w:bidi="zh-CN"/>
                <w14:textFill>
                  <w14:solidFill>
                    <w14:schemeClr w14:val="tx1"/>
                  </w14:solidFill>
                </w14:textFill>
              </w:rPr>
              <w:t>办公区张贴节约用电和节约用水的宣传标识。能够做到人走灯息、空调在26度以上。</w:t>
            </w:r>
          </w:p>
          <w:p>
            <w:pPr>
              <w:pStyle w:val="3"/>
              <w:keepNext w:val="0"/>
              <w:keepLines w:val="0"/>
              <w:pageBreakBefore w:val="0"/>
              <w:widowControl w:val="0"/>
              <w:numPr>
                <w:ilvl w:val="0"/>
                <w:numId w:val="6"/>
              </w:numPr>
              <w:kinsoku/>
              <w:wordWrap/>
              <w:overflowPunct/>
              <w:topLinePunct w:val="0"/>
              <w:autoSpaceDE w:val="0"/>
              <w:autoSpaceDN w:val="0"/>
              <w:bidi w:val="0"/>
              <w:adjustRightInd/>
              <w:snapToGrid/>
              <w:spacing w:before="0"/>
              <w:ind w:left="0" w:leftChars="0" w:firstLine="420" w:firstLineChars="200"/>
              <w:jc w:val="both"/>
              <w:textAlignment w:val="auto"/>
              <w:rPr>
                <w:rFonts w:hint="default" w:cs="宋体"/>
                <w:color w:val="000000" w:themeColor="text1"/>
                <w:kern w:val="0"/>
                <w:sz w:val="21"/>
                <w:szCs w:val="21"/>
                <w:lang w:val="en-US" w:eastAsia="zh-CN" w:bidi="zh-CN"/>
                <w14:textFill>
                  <w14:solidFill>
                    <w14:schemeClr w14:val="tx1"/>
                  </w14:solidFill>
                </w14:textFill>
              </w:rPr>
            </w:pPr>
            <w:r>
              <w:rPr>
                <w:rFonts w:hint="default" w:cs="宋体"/>
                <w:color w:val="000000" w:themeColor="text1"/>
                <w:kern w:val="0"/>
                <w:sz w:val="21"/>
                <w:szCs w:val="21"/>
                <w:lang w:val="en-US" w:eastAsia="zh-CN" w:bidi="zh-CN"/>
                <w14:textFill>
                  <w14:solidFill>
                    <w14:schemeClr w14:val="tx1"/>
                  </w14:solidFill>
                </w14:textFill>
              </w:rPr>
              <w:t>本部门按季对目标指标完成情况进行检查考核，经查本部门2021年度和2022年1季度能源各项目标指标全部完成。</w:t>
            </w:r>
          </w:p>
          <w:p>
            <w:pPr>
              <w:pStyle w:val="3"/>
              <w:keepNext w:val="0"/>
              <w:keepLines w:val="0"/>
              <w:pageBreakBefore w:val="0"/>
              <w:widowControl w:val="0"/>
              <w:numPr>
                <w:ilvl w:val="0"/>
                <w:numId w:val="6"/>
              </w:numPr>
              <w:kinsoku/>
              <w:wordWrap/>
              <w:overflowPunct/>
              <w:topLinePunct w:val="0"/>
              <w:autoSpaceDE w:val="0"/>
              <w:autoSpaceDN w:val="0"/>
              <w:bidi w:val="0"/>
              <w:adjustRightInd/>
              <w:snapToGrid/>
              <w:spacing w:before="0"/>
              <w:ind w:left="0" w:leftChars="0" w:firstLine="420" w:firstLineChars="200"/>
              <w:jc w:val="both"/>
              <w:textAlignment w:val="auto"/>
              <w:rPr>
                <w:rFonts w:hint="default" w:cs="宋体"/>
                <w:color w:val="000000" w:themeColor="text1"/>
                <w:kern w:val="0"/>
                <w:sz w:val="21"/>
                <w:szCs w:val="21"/>
                <w:lang w:val="en-US" w:eastAsia="zh-CN" w:bidi="zh-CN"/>
                <w14:textFill>
                  <w14:solidFill>
                    <w14:schemeClr w14:val="tx1"/>
                  </w14:solidFill>
                </w14:textFill>
              </w:rPr>
            </w:pPr>
            <w:r>
              <w:rPr>
                <w:rFonts w:hint="default" w:cs="宋体"/>
                <w:color w:val="000000" w:themeColor="text1"/>
                <w:kern w:val="0"/>
                <w:sz w:val="21"/>
                <w:szCs w:val="21"/>
                <w:lang w:val="en-US" w:eastAsia="zh-CN" w:bidi="zh-CN"/>
                <w14:textFill>
                  <w14:solidFill>
                    <w14:schemeClr w14:val="tx1"/>
                  </w14:solidFill>
                </w14:textFill>
              </w:rPr>
              <w:t>自公司能源体系运行以来，本部门未发生不符合。</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ind w:firstLine="420" w:firstLineChars="200"/>
              <w:jc w:val="left"/>
              <w:textAlignment w:val="auto"/>
              <w:rPr>
                <w:rFonts w:hint="default" w:cs="宋体"/>
                <w:color w:val="000000" w:themeColor="text1"/>
                <w:kern w:val="0"/>
                <w:sz w:val="21"/>
                <w:szCs w:val="21"/>
                <w:lang w:val="en-US" w:eastAsia="zh-CN" w:bidi="zh-CN"/>
                <w14:textFill>
                  <w14:solidFill>
                    <w14:schemeClr w14:val="tx1"/>
                  </w14:solidFill>
                </w14:textFill>
              </w:rPr>
            </w:pPr>
            <w:r>
              <w:rPr>
                <w:rFonts w:hint="eastAsia" w:cs="宋体"/>
                <w:color w:val="000000" w:themeColor="text1"/>
                <w:kern w:val="0"/>
                <w:sz w:val="21"/>
                <w:szCs w:val="21"/>
                <w:lang w:val="en-US" w:eastAsia="zh-CN" w:bidi="zh-CN"/>
                <w14:textFill>
                  <w14:solidFill>
                    <w14:schemeClr w14:val="tx1"/>
                  </w14:solidFill>
                </w14:textFill>
              </w:rPr>
              <w:t>6、本部门负责对公司各部门的能源目标指标的考核，抽查2021年度目标指标的考核情况：全部完成。</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ind w:firstLine="0" w:firstLineChars="0"/>
              <w:jc w:val="center"/>
              <w:textAlignment w:val="auto"/>
              <w:rPr>
                <w:rFonts w:hint="default" w:cs="宋体"/>
                <w:color w:val="000000" w:themeColor="text1"/>
                <w:kern w:val="0"/>
                <w:sz w:val="21"/>
                <w:szCs w:val="21"/>
                <w:lang w:val="en-US" w:eastAsia="zh-CN" w:bidi="zh-CN"/>
                <w14:textFill>
                  <w14:solidFill>
                    <w14:schemeClr w14:val="tx1"/>
                  </w14:solidFill>
                </w14:textFill>
              </w:rPr>
            </w:pPr>
            <w:r>
              <w:rPr>
                <w:color w:val="000000" w:themeColor="text1"/>
                <w14:textFill>
                  <w14:solidFill>
                    <w14:schemeClr w14:val="tx1"/>
                  </w14:solidFill>
                </w14:textFill>
              </w:rPr>
              <w:drawing>
                <wp:inline distT="0" distB="0" distL="114300" distR="114300">
                  <wp:extent cx="2665095" cy="2393950"/>
                  <wp:effectExtent l="0" t="0" r="1905" b="635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26"/>
                          <a:stretch>
                            <a:fillRect/>
                          </a:stretch>
                        </pic:blipFill>
                        <pic:spPr>
                          <a:xfrm>
                            <a:off x="0" y="0"/>
                            <a:ext cx="2665095" cy="2393950"/>
                          </a:xfrm>
                          <a:prstGeom prst="rect">
                            <a:avLst/>
                          </a:prstGeom>
                          <a:noFill/>
                          <a:ln>
                            <a:noFill/>
                          </a:ln>
                        </pic:spPr>
                      </pic:pic>
                    </a:graphicData>
                  </a:graphic>
                </wp:inline>
              </w:drawing>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p>
        </w:tc>
        <w:tc>
          <w:tcPr>
            <w:tcW w:w="1213" w:type="dxa"/>
          </w:tcPr>
          <w:p>
            <w:pPr>
              <w:rPr>
                <w:rFonts w:hint="eastAsia"/>
                <w:color w:val="000000" w:themeColor="text1"/>
                <w:lang w:val="en-US" w:eastAsia="zh-CN"/>
                <w14:textFill>
                  <w14:solidFill>
                    <w14:schemeClr w14:val="tx1"/>
                  </w14:solidFill>
                </w14:textFill>
              </w:rPr>
            </w:pPr>
          </w:p>
        </w:tc>
      </w:tr>
    </w:tbl>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说明：不符合标注N</w:t>
      </w:r>
    </w:p>
    <w:p>
      <w:pPr>
        <w:pStyle w:val="5"/>
        <w:rPr>
          <w:rFonts w:hint="eastAsia"/>
          <w:color w:val="000000" w:themeColor="text1"/>
        </w:rPr>
      </w:pPr>
      <w:bookmarkStart w:id="0" w:name="_GoBack"/>
      <w:bookmarkEnd w:id="0"/>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59264" behindDoc="0" locked="0" layoutInCell="1" allowOverlap="1">
          <wp:simplePos x="0" y="0"/>
          <wp:positionH relativeFrom="column">
            <wp:posOffset>-12700</wp:posOffset>
          </wp:positionH>
          <wp:positionV relativeFrom="paragraph">
            <wp:posOffset>12065</wp:posOffset>
          </wp:positionV>
          <wp:extent cx="423545" cy="426720"/>
          <wp:effectExtent l="0" t="0" r="3175" b="0"/>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23545" cy="4267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7649210</wp:posOffset>
              </wp:positionH>
              <wp:positionV relativeFrom="paragraph">
                <wp:posOffset>139700</wp:posOffset>
              </wp:positionV>
              <wp:extent cx="1497965" cy="256540"/>
              <wp:effectExtent l="0" t="0" r="635" b="10160"/>
              <wp:wrapNone/>
              <wp:docPr id="5" name="文本框 1026"/>
              <wp:cNvGraphicFramePr/>
              <a:graphic xmlns:a="http://schemas.openxmlformats.org/drawingml/2006/main">
                <a:graphicData uri="http://schemas.microsoft.com/office/word/2010/wordprocessingShape">
                  <wps:wsp>
                    <wps:cNvSpPr txBox="1"/>
                    <wps:spPr>
                      <a:xfrm>
                        <a:off x="0" y="0"/>
                        <a:ext cx="1497965" cy="256540"/>
                      </a:xfrm>
                      <a:prstGeom prst="rect">
                        <a:avLst/>
                      </a:prstGeom>
                      <a:solidFill>
                        <a:srgbClr val="FFFFFF"/>
                      </a:solidFill>
                      <a:ln>
                        <a:noFill/>
                      </a:ln>
                    </wps:spPr>
                    <wps:txbx>
                      <w:txbxContent>
                        <w:p>
                          <w:pPr>
                            <w:rPr>
                              <w:sz w:val="18"/>
                              <w:szCs w:val="18"/>
                            </w:rPr>
                          </w:pPr>
                          <w:r>
                            <w:rPr>
                              <w:rFonts w:hint="eastAsia"/>
                              <w:sz w:val="18"/>
                              <w:szCs w:val="18"/>
                            </w:rPr>
                            <w:t>ISC-B-II-04(05版）</w:t>
                          </w:r>
                        </w:p>
                      </w:txbxContent>
                    </wps:txbx>
                    <wps:bodyPr upright="1"/>
                  </wps:wsp>
                </a:graphicData>
              </a:graphic>
            </wp:anchor>
          </w:drawing>
        </mc:Choice>
        <mc:Fallback>
          <w:pict>
            <v:shape id="文本框 1026" o:spid="_x0000_s1026" o:spt="202" type="#_x0000_t202" style="position:absolute;left:0pt;margin-left:602.3pt;margin-top:11pt;height:20.2pt;width:117.95pt;z-index:251660288;mso-width-relative:page;mso-height-relative:page;" fillcolor="#FFFFFF" filled="t" stroked="f" coordsize="21600,21600" o:gfxdata="UEsDBAoAAAAAAIdO4kAAAAAAAAAAAAAAAAAEAAAAZHJzL1BLAwQUAAAACACHTuJAJyotCtcAAAAL&#10;AQAADwAAAGRycy9kb3ducmV2LnhtbE2Py07DMBBF90j8gzVIbBC1a7kphDiVQAKx7eMDJombRMTj&#10;KHab9u+ZrmB5NUd3zi02Fz+Is5tiH8jCcqFAOKpD01Nr4bD/fH4BERNSg0MgZ+HqImzK+7sC8ybM&#10;tHXnXWoFl1DM0UKX0phLGevOeYyLMDri2zFMHhPHqZXNhDOX+0FqpTLpsSf+0OHoPjpX/+xO3sLx&#10;e35avc7VVzqstyZ7x35dhau1jw9L9QYiuUv6g+Gmz+pQslMVTtREMXDWymTMWtCaR90IY9QKRGUh&#10;0wZkWcj/G8pfUEsDBBQAAAAIAIdO4kAy67wpxgEAAHoDAAAOAAAAZHJzL2Uyb0RvYy54bWytU82O&#10;0zAQviPxDpbvNGm1LWzUdCWoygUB0i4P4DpOYsn2WB63TV8A3oATF+48V5+DsdPtsruXPZCDY8/P&#10;N/N9Yy9vBmvYXgXU4Go+nZScKSeh0a6r+be7zZt3nGEUrhEGnKr5USG/Wb1+tTz4Ss2gB9OowAjE&#10;YXXwNe9j9FVRoOyVFTgBrxw5WwhWRDqGrmiCOBC6NcWsLBfFAULjA0iFSNb16ORnxPASQGhbLdUa&#10;5M4qF0fUoIyIRAl77ZGvcrdtq2T80raoIjM1J6Yxr1SE9tu0FqulqLogfK/luQXxkhaecLJCOyp6&#10;gVqLKNgu6GdQVssACG2cSLDFSCQrQiym5RNtbnvhVeZCUqO/iI7/D1Z+3n8NTDc1n3PmhKWBn37+&#10;OP36c/r9nU3L2SIpdPBYUeCtp9A4vIeB7s29HcmYiA9tsOlPlBj5Sd/jRV81RCZT0tX12+sFFZLk&#10;m80X86s8gOIh2weMHxVYljY1DzS/LKvYf8JInVDofUgqhmB0s9HG5EPoth9MYHtBs97kLzVJKY/C&#10;jEvBDlLa6E6WInEcuaRdHLbDmfgWmiPx3vmgu556ysxzOI0kw5+vT5r5v+cM+vBkV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JyotCtcAAAALAQAADwAAAAAAAAABACAAAAAiAAAAZHJzL2Rvd25y&#10;ZXYueG1sUEsBAhQAFAAAAAgAh07iQDLrvCnGAQAAegMAAA4AAAAAAAAAAQAgAAAAJgEAAGRycy9l&#10;Mm9Eb2MueG1sUEsFBgAAAAAGAAYAWQEAAF4FAAAAAA==&#10;">
              <v:fill on="t" focussize="0,0"/>
              <v:stroke on="f"/>
              <v:imagedata o:title=""/>
              <o:lock v:ext="edit" aspectratio="f"/>
              <v:textbox>
                <w:txbxContent>
                  <w:p>
                    <w:pPr>
                      <w:rPr>
                        <w:sz w:val="18"/>
                        <w:szCs w:val="18"/>
                      </w:rPr>
                    </w:pPr>
                    <w:r>
                      <w:rPr>
                        <w:rFonts w:hint="eastAsia"/>
                        <w:sz w:val="18"/>
                        <w:szCs w:val="18"/>
                      </w:rPr>
                      <w:t>ISC-B-II-04(05版）</w:t>
                    </w:r>
                  </w:p>
                </w:txbxContent>
              </v:textbox>
            </v:shape>
          </w:pict>
        </mc:Fallback>
      </mc:AlternateContent>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6"/>
      <w:pBdr>
        <w:bottom w:val="none" w:color="auto" w:sz="0" w:space="1"/>
      </w:pBdr>
      <w:spacing w:line="320" w:lineRule="exact"/>
      <w:ind w:firstLine="756" w:firstLineChars="400"/>
      <w:jc w:val="left"/>
    </w:pPr>
    <w:r>
      <w:rPr>
        <w:rStyle w:val="14"/>
        <w:rFonts w:hint="default"/>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295D2D6"/>
    <w:multiLevelType w:val="singleLevel"/>
    <w:tmpl w:val="C295D2D6"/>
    <w:lvl w:ilvl="0" w:tentative="0">
      <w:start w:val="7"/>
      <w:numFmt w:val="decimal"/>
      <w:suff w:val="nothing"/>
      <w:lvlText w:val="%1、"/>
      <w:lvlJc w:val="left"/>
      <w:pPr>
        <w:ind w:left="420"/>
      </w:pPr>
    </w:lvl>
  </w:abstractNum>
  <w:abstractNum w:abstractNumId="1">
    <w:nsid w:val="C88ED66D"/>
    <w:multiLevelType w:val="singleLevel"/>
    <w:tmpl w:val="C88ED66D"/>
    <w:lvl w:ilvl="0" w:tentative="0">
      <w:start w:val="1"/>
      <w:numFmt w:val="decimal"/>
      <w:suff w:val="nothing"/>
      <w:lvlText w:val="（%1）"/>
      <w:lvlJc w:val="left"/>
    </w:lvl>
  </w:abstractNum>
  <w:abstractNum w:abstractNumId="2">
    <w:nsid w:val="DCF3B0A7"/>
    <w:multiLevelType w:val="singleLevel"/>
    <w:tmpl w:val="DCF3B0A7"/>
    <w:lvl w:ilvl="0" w:tentative="0">
      <w:start w:val="1"/>
      <w:numFmt w:val="decimal"/>
      <w:suff w:val="nothing"/>
      <w:lvlText w:val="%1、"/>
      <w:lvlJc w:val="left"/>
      <w:pPr>
        <w:ind w:left="735" w:leftChars="0" w:firstLine="0" w:firstLineChars="0"/>
      </w:pPr>
    </w:lvl>
  </w:abstractNum>
  <w:abstractNum w:abstractNumId="3">
    <w:nsid w:val="FC0A0383"/>
    <w:multiLevelType w:val="singleLevel"/>
    <w:tmpl w:val="FC0A0383"/>
    <w:lvl w:ilvl="0" w:tentative="0">
      <w:start w:val="1"/>
      <w:numFmt w:val="chineseCounting"/>
      <w:suff w:val="nothing"/>
      <w:lvlText w:val="%1、"/>
      <w:lvlJc w:val="left"/>
      <w:rPr>
        <w:rFonts w:hint="eastAsia"/>
      </w:rPr>
    </w:lvl>
  </w:abstractNum>
  <w:abstractNum w:abstractNumId="4">
    <w:nsid w:val="21A92304"/>
    <w:multiLevelType w:val="singleLevel"/>
    <w:tmpl w:val="21A92304"/>
    <w:lvl w:ilvl="0" w:tentative="0">
      <w:start w:val="1"/>
      <w:numFmt w:val="decimal"/>
      <w:suff w:val="nothing"/>
      <w:lvlText w:val="%1、"/>
      <w:lvlJc w:val="left"/>
    </w:lvl>
  </w:abstractNum>
  <w:abstractNum w:abstractNumId="5">
    <w:nsid w:val="4EE7C0DC"/>
    <w:multiLevelType w:val="singleLevel"/>
    <w:tmpl w:val="4EE7C0DC"/>
    <w:lvl w:ilvl="0" w:tentative="0">
      <w:start w:val="1"/>
      <w:numFmt w:val="decimal"/>
      <w:suff w:val="nothing"/>
      <w:lvlText w:val="%1、"/>
      <w:lvlJc w:val="left"/>
      <w:pPr>
        <w:ind w:left="480" w:leftChars="0" w:firstLine="0" w:firstLineChars="0"/>
      </w:pPr>
    </w:lvl>
  </w:abstractNum>
  <w:num w:numId="1">
    <w:abstractNumId w:val="1"/>
  </w:num>
  <w:num w:numId="2">
    <w:abstractNumId w:val="3"/>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iODA1MTVjZDY1YTRkN2VmNmM5OWJkMjExYmM0YjQifQ=="/>
  </w:docVars>
  <w:rsids>
    <w:rsidRoot w:val="009973B4"/>
    <w:rsid w:val="000237F6"/>
    <w:rsid w:val="0003373A"/>
    <w:rsid w:val="000400E2"/>
    <w:rsid w:val="00062E46"/>
    <w:rsid w:val="000E6B21"/>
    <w:rsid w:val="001A2D7F"/>
    <w:rsid w:val="001B2B1C"/>
    <w:rsid w:val="002939AD"/>
    <w:rsid w:val="00314AF6"/>
    <w:rsid w:val="00337922"/>
    <w:rsid w:val="00340867"/>
    <w:rsid w:val="00380837"/>
    <w:rsid w:val="003A198A"/>
    <w:rsid w:val="00410914"/>
    <w:rsid w:val="00536930"/>
    <w:rsid w:val="00564E53"/>
    <w:rsid w:val="005D5659"/>
    <w:rsid w:val="00600C20"/>
    <w:rsid w:val="00644FE2"/>
    <w:rsid w:val="0067640C"/>
    <w:rsid w:val="006A10C1"/>
    <w:rsid w:val="006E678B"/>
    <w:rsid w:val="007757F3"/>
    <w:rsid w:val="007C1B48"/>
    <w:rsid w:val="007E6AEB"/>
    <w:rsid w:val="008973EE"/>
    <w:rsid w:val="00971600"/>
    <w:rsid w:val="009973B4"/>
    <w:rsid w:val="009C28C1"/>
    <w:rsid w:val="009F7EED"/>
    <w:rsid w:val="00A6244D"/>
    <w:rsid w:val="00A80636"/>
    <w:rsid w:val="00AF0AAB"/>
    <w:rsid w:val="00B31A02"/>
    <w:rsid w:val="00BF597E"/>
    <w:rsid w:val="00C51A36"/>
    <w:rsid w:val="00C55228"/>
    <w:rsid w:val="00C63768"/>
    <w:rsid w:val="00CE315A"/>
    <w:rsid w:val="00D06F59"/>
    <w:rsid w:val="00D8388C"/>
    <w:rsid w:val="00E6224C"/>
    <w:rsid w:val="00EB0164"/>
    <w:rsid w:val="00ED0F62"/>
    <w:rsid w:val="01A20B6F"/>
    <w:rsid w:val="01DC6BF5"/>
    <w:rsid w:val="01E30C0C"/>
    <w:rsid w:val="01F25A54"/>
    <w:rsid w:val="03B17E9F"/>
    <w:rsid w:val="047A2E43"/>
    <w:rsid w:val="047C23EE"/>
    <w:rsid w:val="04F069D1"/>
    <w:rsid w:val="050D2726"/>
    <w:rsid w:val="06D7205C"/>
    <w:rsid w:val="08422B0C"/>
    <w:rsid w:val="08797894"/>
    <w:rsid w:val="091F7D6B"/>
    <w:rsid w:val="0A200CA9"/>
    <w:rsid w:val="0A216C7D"/>
    <w:rsid w:val="0A896FE9"/>
    <w:rsid w:val="0AD60236"/>
    <w:rsid w:val="0AFD3115"/>
    <w:rsid w:val="0B5F3AFA"/>
    <w:rsid w:val="0D2D4B4A"/>
    <w:rsid w:val="0D7218A9"/>
    <w:rsid w:val="0F3B12A6"/>
    <w:rsid w:val="0F590216"/>
    <w:rsid w:val="106C6179"/>
    <w:rsid w:val="108219C2"/>
    <w:rsid w:val="11785740"/>
    <w:rsid w:val="11CE14E0"/>
    <w:rsid w:val="12DF3C06"/>
    <w:rsid w:val="138959E3"/>
    <w:rsid w:val="13B33BC9"/>
    <w:rsid w:val="13BD2BE4"/>
    <w:rsid w:val="147705EF"/>
    <w:rsid w:val="147941C0"/>
    <w:rsid w:val="14E340D5"/>
    <w:rsid w:val="15630AC1"/>
    <w:rsid w:val="15B870CC"/>
    <w:rsid w:val="15DC4AE2"/>
    <w:rsid w:val="16B65069"/>
    <w:rsid w:val="16D974B1"/>
    <w:rsid w:val="17645581"/>
    <w:rsid w:val="178D388A"/>
    <w:rsid w:val="17D731C4"/>
    <w:rsid w:val="18572570"/>
    <w:rsid w:val="190F099B"/>
    <w:rsid w:val="1A7E2AF4"/>
    <w:rsid w:val="1AB47395"/>
    <w:rsid w:val="1ADD2EA8"/>
    <w:rsid w:val="1B46487E"/>
    <w:rsid w:val="1B6170A5"/>
    <w:rsid w:val="1B7976A8"/>
    <w:rsid w:val="1B881819"/>
    <w:rsid w:val="1B8C7176"/>
    <w:rsid w:val="1C75625B"/>
    <w:rsid w:val="1C8C17DD"/>
    <w:rsid w:val="1E056013"/>
    <w:rsid w:val="1E263064"/>
    <w:rsid w:val="1E27007F"/>
    <w:rsid w:val="1E286F45"/>
    <w:rsid w:val="1E3A3D1D"/>
    <w:rsid w:val="1E4246BE"/>
    <w:rsid w:val="1E873FE7"/>
    <w:rsid w:val="1EB71DE7"/>
    <w:rsid w:val="1F107A2E"/>
    <w:rsid w:val="1F771329"/>
    <w:rsid w:val="2003293B"/>
    <w:rsid w:val="20F87831"/>
    <w:rsid w:val="212345D6"/>
    <w:rsid w:val="22F54EA8"/>
    <w:rsid w:val="23D762F6"/>
    <w:rsid w:val="248C14D9"/>
    <w:rsid w:val="24F52E53"/>
    <w:rsid w:val="25722260"/>
    <w:rsid w:val="25A60F9D"/>
    <w:rsid w:val="25C6426F"/>
    <w:rsid w:val="25C975D3"/>
    <w:rsid w:val="25D01723"/>
    <w:rsid w:val="25D43F74"/>
    <w:rsid w:val="25F6279D"/>
    <w:rsid w:val="260E6499"/>
    <w:rsid w:val="26E50717"/>
    <w:rsid w:val="277D79BE"/>
    <w:rsid w:val="28C055AB"/>
    <w:rsid w:val="28EB77AF"/>
    <w:rsid w:val="29A21A71"/>
    <w:rsid w:val="29E318C1"/>
    <w:rsid w:val="2A766C51"/>
    <w:rsid w:val="2AAD74CC"/>
    <w:rsid w:val="2B2F4819"/>
    <w:rsid w:val="2B5B1396"/>
    <w:rsid w:val="2BE71DC5"/>
    <w:rsid w:val="2C3103C0"/>
    <w:rsid w:val="2EAE5EBF"/>
    <w:rsid w:val="2EB967C5"/>
    <w:rsid w:val="2F912599"/>
    <w:rsid w:val="318604A8"/>
    <w:rsid w:val="32334EAE"/>
    <w:rsid w:val="332C2F3D"/>
    <w:rsid w:val="33536C63"/>
    <w:rsid w:val="347A765D"/>
    <w:rsid w:val="34B42186"/>
    <w:rsid w:val="351F77BF"/>
    <w:rsid w:val="356B5308"/>
    <w:rsid w:val="35933FBA"/>
    <w:rsid w:val="35A8064D"/>
    <w:rsid w:val="361577F0"/>
    <w:rsid w:val="36174C78"/>
    <w:rsid w:val="36240FF0"/>
    <w:rsid w:val="36742059"/>
    <w:rsid w:val="36D844B9"/>
    <w:rsid w:val="374716A1"/>
    <w:rsid w:val="37503F9E"/>
    <w:rsid w:val="375E3132"/>
    <w:rsid w:val="38DC770D"/>
    <w:rsid w:val="393C56E6"/>
    <w:rsid w:val="39925D4F"/>
    <w:rsid w:val="3A8E705E"/>
    <w:rsid w:val="3AD4006D"/>
    <w:rsid w:val="3B2F152F"/>
    <w:rsid w:val="3C721706"/>
    <w:rsid w:val="3CD52507"/>
    <w:rsid w:val="3D4E6C4D"/>
    <w:rsid w:val="3D507775"/>
    <w:rsid w:val="3E240FF8"/>
    <w:rsid w:val="3E2944F8"/>
    <w:rsid w:val="3E4F4E3C"/>
    <w:rsid w:val="3EC252BA"/>
    <w:rsid w:val="3EE40314"/>
    <w:rsid w:val="3EED6F68"/>
    <w:rsid w:val="3EFD2AC1"/>
    <w:rsid w:val="3F363088"/>
    <w:rsid w:val="3F655E33"/>
    <w:rsid w:val="3F8A37D7"/>
    <w:rsid w:val="3FEF0729"/>
    <w:rsid w:val="40E73C0B"/>
    <w:rsid w:val="418C6EA0"/>
    <w:rsid w:val="41A102B3"/>
    <w:rsid w:val="41D81C71"/>
    <w:rsid w:val="4201205B"/>
    <w:rsid w:val="430458CB"/>
    <w:rsid w:val="43C45188"/>
    <w:rsid w:val="43EA1BA4"/>
    <w:rsid w:val="449E24B7"/>
    <w:rsid w:val="450827B4"/>
    <w:rsid w:val="456613DE"/>
    <w:rsid w:val="45835A41"/>
    <w:rsid w:val="4610399C"/>
    <w:rsid w:val="46676C35"/>
    <w:rsid w:val="49A43C5D"/>
    <w:rsid w:val="4A0941CE"/>
    <w:rsid w:val="4A5D0A89"/>
    <w:rsid w:val="4A643F32"/>
    <w:rsid w:val="4AB51850"/>
    <w:rsid w:val="4AF0622A"/>
    <w:rsid w:val="4B1D16C3"/>
    <w:rsid w:val="4B3D5431"/>
    <w:rsid w:val="4B7419D6"/>
    <w:rsid w:val="4BC14352"/>
    <w:rsid w:val="4C7C72A1"/>
    <w:rsid w:val="4C8654D1"/>
    <w:rsid w:val="4DE427FB"/>
    <w:rsid w:val="4E194E12"/>
    <w:rsid w:val="4E377A31"/>
    <w:rsid w:val="4F460E7A"/>
    <w:rsid w:val="4F81273C"/>
    <w:rsid w:val="4FAC517C"/>
    <w:rsid w:val="4FFD1A67"/>
    <w:rsid w:val="508939BE"/>
    <w:rsid w:val="510C5AF5"/>
    <w:rsid w:val="511B40AC"/>
    <w:rsid w:val="53D34B71"/>
    <w:rsid w:val="552C7BAF"/>
    <w:rsid w:val="554E40F0"/>
    <w:rsid w:val="568C3F73"/>
    <w:rsid w:val="56F0460D"/>
    <w:rsid w:val="56F15158"/>
    <w:rsid w:val="57714762"/>
    <w:rsid w:val="57900F32"/>
    <w:rsid w:val="57A0074D"/>
    <w:rsid w:val="59062011"/>
    <w:rsid w:val="5A1D6551"/>
    <w:rsid w:val="5B99033C"/>
    <w:rsid w:val="5BA21581"/>
    <w:rsid w:val="5BFD0207"/>
    <w:rsid w:val="5CAB44D2"/>
    <w:rsid w:val="5CC22B73"/>
    <w:rsid w:val="5DBA2483"/>
    <w:rsid w:val="5DE163BC"/>
    <w:rsid w:val="5DFE0F97"/>
    <w:rsid w:val="5E292A40"/>
    <w:rsid w:val="5EA12B9A"/>
    <w:rsid w:val="5EC27919"/>
    <w:rsid w:val="5F31209E"/>
    <w:rsid w:val="5F445EE1"/>
    <w:rsid w:val="5F5C13F0"/>
    <w:rsid w:val="609C6059"/>
    <w:rsid w:val="60B11388"/>
    <w:rsid w:val="60D8693C"/>
    <w:rsid w:val="61EC1F58"/>
    <w:rsid w:val="620D4FC6"/>
    <w:rsid w:val="62175BC6"/>
    <w:rsid w:val="6298438A"/>
    <w:rsid w:val="62A44C68"/>
    <w:rsid w:val="62C55E6E"/>
    <w:rsid w:val="62F24F2F"/>
    <w:rsid w:val="63175BAC"/>
    <w:rsid w:val="634714D0"/>
    <w:rsid w:val="645F2B5D"/>
    <w:rsid w:val="650A78D6"/>
    <w:rsid w:val="663858E4"/>
    <w:rsid w:val="664A3CA3"/>
    <w:rsid w:val="673A3673"/>
    <w:rsid w:val="684903CF"/>
    <w:rsid w:val="693F2356"/>
    <w:rsid w:val="69CD79CF"/>
    <w:rsid w:val="6C1279E0"/>
    <w:rsid w:val="6CAA131E"/>
    <w:rsid w:val="6CEA2EF7"/>
    <w:rsid w:val="6D8D5B2D"/>
    <w:rsid w:val="6E26299D"/>
    <w:rsid w:val="6F633639"/>
    <w:rsid w:val="6F765216"/>
    <w:rsid w:val="70BC0C82"/>
    <w:rsid w:val="70FE0D10"/>
    <w:rsid w:val="7147513F"/>
    <w:rsid w:val="71523BBC"/>
    <w:rsid w:val="721A7BDD"/>
    <w:rsid w:val="7257141B"/>
    <w:rsid w:val="737877ED"/>
    <w:rsid w:val="742D63C8"/>
    <w:rsid w:val="747A1632"/>
    <w:rsid w:val="753266BC"/>
    <w:rsid w:val="75623FC3"/>
    <w:rsid w:val="75F14F63"/>
    <w:rsid w:val="76025C13"/>
    <w:rsid w:val="765A5DFB"/>
    <w:rsid w:val="76AF40A0"/>
    <w:rsid w:val="77187E8F"/>
    <w:rsid w:val="778D1E8E"/>
    <w:rsid w:val="77C5578B"/>
    <w:rsid w:val="782F74B9"/>
    <w:rsid w:val="78B95828"/>
    <w:rsid w:val="78CB57AE"/>
    <w:rsid w:val="78E67034"/>
    <w:rsid w:val="790F4ED3"/>
    <w:rsid w:val="79807E6E"/>
    <w:rsid w:val="79CD2983"/>
    <w:rsid w:val="7AB2317C"/>
    <w:rsid w:val="7AD6279A"/>
    <w:rsid w:val="7B243ADF"/>
    <w:rsid w:val="7B421755"/>
    <w:rsid w:val="7BDB243B"/>
    <w:rsid w:val="7CC16C5D"/>
    <w:rsid w:val="7DBC4AED"/>
    <w:rsid w:val="7E155CD3"/>
    <w:rsid w:val="7E64683F"/>
    <w:rsid w:val="7ED31D30"/>
    <w:rsid w:val="7FB914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qFormat/>
    <w:uiPriority w:val="0"/>
    <w:rPr>
      <w:rFonts w:eastAsia="华文细黑"/>
      <w:sz w:val="24"/>
    </w:r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table of figures"/>
    <w:basedOn w:val="1"/>
    <w:next w:val="1"/>
    <w:qFormat/>
    <w:uiPriority w:val="0"/>
    <w:pPr>
      <w:ind w:left="200" w:leftChars="200" w:hanging="200" w:hangingChars="200"/>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字符"/>
    <w:basedOn w:val="10"/>
    <w:link w:val="6"/>
    <w:qFormat/>
    <w:uiPriority w:val="99"/>
    <w:rPr>
      <w:rFonts w:ascii="Times New Roman" w:hAnsi="Times New Roman" w:eastAsia="宋体" w:cs="Times New Roman"/>
      <w:sz w:val="18"/>
      <w:szCs w:val="18"/>
    </w:rPr>
  </w:style>
  <w:style w:type="character" w:customStyle="1" w:styleId="12">
    <w:name w:val="页脚 字符"/>
    <w:basedOn w:val="10"/>
    <w:link w:val="5"/>
    <w:qFormat/>
    <w:uiPriority w:val="99"/>
    <w:rPr>
      <w:rFonts w:ascii="Times New Roman" w:hAnsi="Times New Roman" w:eastAsia="宋体" w:cs="Times New Roman"/>
      <w:sz w:val="18"/>
      <w:szCs w:val="18"/>
    </w:rPr>
  </w:style>
  <w:style w:type="character" w:customStyle="1" w:styleId="13">
    <w:name w:val="批注框文本 字符"/>
    <w:basedOn w:val="10"/>
    <w:link w:val="4"/>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character" w:customStyle="1" w:styleId="15">
    <w:name w:val="font51"/>
    <w:basedOn w:val="10"/>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oleObject" Target="embeddings/oleObject3.bin"/><Relationship Id="rId24" Type="http://schemas.openxmlformats.org/officeDocument/2006/relationships/oleObject" Target="embeddings/oleObject2.bin"/><Relationship Id="rId23" Type="http://schemas.openxmlformats.org/officeDocument/2006/relationships/image" Target="media/image18.wmf"/><Relationship Id="rId22" Type="http://schemas.openxmlformats.org/officeDocument/2006/relationships/oleObject" Target="embeddings/oleObject1.bin"/><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4908</Words>
  <Characters>5249</Characters>
  <Lines>1</Lines>
  <Paragraphs>1</Paragraphs>
  <TotalTime>8</TotalTime>
  <ScaleCrop>false</ScaleCrop>
  <LinksUpToDate>false</LinksUpToDate>
  <CharactersWithSpaces>5335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丽英</cp:lastModifiedBy>
  <dcterms:modified xsi:type="dcterms:W3CDTF">2022-08-15T10:11:14Z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867DD168B2C647D9ABE6A7074A7968CC</vt:lpwstr>
  </property>
</Properties>
</file>