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  <w:lang w:eastAsia="zh-CN"/>
        </w:rPr>
        <w:t>■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9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rFonts w:hint="eastAsia"/>
                <w:b/>
                <w:sz w:val="25"/>
                <w:u w:val="none"/>
              </w:rPr>
              <w:t>成都声立德克技术有限公司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2.10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王宁敏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工艺流程：</w:t>
            </w:r>
          </w:p>
          <w:p>
            <w:pPr>
              <w:pStyle w:val="8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highlight w:val="none"/>
                <w:lang w:val="en-US" w:eastAsia="zh-CN"/>
              </w:rPr>
              <w:t>超声波水表、超声波热能表流程：部件采购——组装——调试——检验——包装——入库。</w:t>
            </w:r>
          </w:p>
          <w:p>
            <w:pPr>
              <w:pStyle w:val="2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  <w:highlight w:val="none"/>
                <w:lang w:val="en-US" w:eastAsia="zh-CN"/>
              </w:rPr>
              <w:t>系统集成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highlight w:val="none"/>
                <w:lang w:val="en-US" w:eastAsia="zh-CN" w:bidi="ar-SA"/>
              </w:rPr>
              <w:t>：需求确认→确定方案→合同签订→采购→安装调试→项目验收→交付</w:t>
            </w:r>
            <w:r>
              <w:rPr>
                <w:rFonts w:hint="eastAsia" w:ascii="Times New Roman" w:eastAsia="宋体" w:cs="Times New Roman"/>
                <w:b/>
                <w:kern w:val="2"/>
                <w:sz w:val="20"/>
                <w:szCs w:val="22"/>
                <w:highlight w:val="none"/>
                <w:lang w:val="en-US" w:eastAsia="zh-CN" w:bidi="ar-SA"/>
              </w:rPr>
              <w:t>。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主要能源使用：电、水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主要能源参数；综合能耗tce；单位产品综合能耗kgce/台；单位产值综合能耗kgce/万元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相关法律法规要求：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《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instrText xml:space="preserve"> HYPERLINK "javascript:SLC(40273,0)" </w:instrTex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中华人民共和国节约能源法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》；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《中华人民共和国清洁生产促进法》；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《中华人民共和国可再生能源法》；</w:t>
            </w:r>
            <w:bookmarkStart w:id="1" w:name="_GoBack"/>
            <w:bookmarkEnd w:id="1"/>
          </w:p>
          <w:p>
            <w:pPr>
              <w:snapToGrid w:val="0"/>
              <w:spacing w:line="280" w:lineRule="exact"/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节约用电管理办法（国经贸资源〔2000〕1256号）；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《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instrText xml:space="preserve"> HYPERLINK "javascript:SLC(40273,0)" </w:instrTex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中华人民共和国电力法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》；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四川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省</w:t>
            </w:r>
            <w: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节约能源管理实施细则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产品标准：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水表标准：GBT778.1-2018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热量表标准：GBT32224-2013</w:t>
            </w:r>
          </w:p>
          <w:p>
            <w:pPr>
              <w:pStyle w:val="8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相关专业知识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123825</wp:posOffset>
                  </wp:positionV>
                  <wp:extent cx="777240" cy="234950"/>
                  <wp:effectExtent l="0" t="0" r="0" b="5715"/>
                  <wp:wrapSquare wrapText="bothSides"/>
                  <wp:docPr id="1" name="图片 1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346710</wp:posOffset>
                  </wp:positionH>
                  <wp:positionV relativeFrom="paragraph">
                    <wp:posOffset>130175</wp:posOffset>
                  </wp:positionV>
                  <wp:extent cx="777240" cy="234950"/>
                  <wp:effectExtent l="0" t="0" r="0" b="5715"/>
                  <wp:wrapSquare wrapText="bothSides"/>
                  <wp:docPr id="3" name="图片 3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4"/>
        <w:rFonts w:hint="default"/>
      </w:rPr>
    </w:pPr>
    <w:r>
      <w:rPr>
        <w:rStyle w:val="14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7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166D7A99"/>
    <w:rsid w:val="35717A11"/>
    <w:rsid w:val="395D7766"/>
    <w:rsid w:val="39DF17C1"/>
    <w:rsid w:val="5B0651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3"/>
    <w:qFormat/>
    <w:locked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 w:val="24"/>
      <w:szCs w:val="20"/>
    </w:rPr>
  </w:style>
  <w:style w:type="paragraph" w:styleId="4">
    <w:name w:val="Body Text Indent"/>
    <w:basedOn w:val="1"/>
    <w:qFormat/>
    <w:uiPriority w:val="0"/>
    <w:pPr>
      <w:ind w:left="420" w:leftChars="200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qFormat/>
    <w:uiPriority w:val="0"/>
    <w:pPr>
      <w:spacing w:after="120" w:afterLines="0"/>
      <w:ind w:left="420" w:leftChars="200" w:firstLine="420" w:firstLineChars="200"/>
    </w:pPr>
    <w:rPr>
      <w:rFonts w:ascii="Times New Roman" w:hAnsi="Times New Roman"/>
      <w:szCs w:val="24"/>
    </w:rPr>
  </w:style>
  <w:style w:type="character" w:customStyle="1" w:styleId="11">
    <w:name w:val="页脚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link w:val="5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丽英</cp:lastModifiedBy>
  <dcterms:modified xsi:type="dcterms:W3CDTF">2022-08-13T15:46:28Z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2052-11.1.0.10314</vt:lpwstr>
  </property>
</Properties>
</file>