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0567-2022-QEO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铜川宝盈粉煤灰综合利用有限公司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91610204MA6TMWNF0Q</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lang w:eastAsia="zh-CN"/>
              </w:rPr>
              <w:t>□</w:t>
            </w:r>
            <w:r>
              <w:rPr>
                <w:rFonts w:hint="eastAsia"/>
                <w:sz w:val="22"/>
                <w:szCs w:val="22"/>
              </w:rPr>
              <w:t xml:space="preserve"> 带标  </w:t>
            </w:r>
            <w:r>
              <w:rPr>
                <w:rFonts w:hint="eastAsia" w:ascii="Wingdings" w:hAnsi="Wingdings"/>
                <w:sz w:val="22"/>
                <w:szCs w:val="22"/>
                <w:lang w:eastAsia="zh-CN"/>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Q:15,E:15,O:15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铜川宝盈粉煤灰综合利用有限公司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Q：超细粉煤灰复合材料制品的销售</w:t>
            </w:r>
          </w:p>
          <w:p>
            <w:pPr>
              <w:snapToGrid w:val="0"/>
              <w:spacing w:line="0" w:lineRule="atLeast"/>
              <w:jc w:val="left"/>
              <w:rPr>
                <w:sz w:val="22"/>
                <w:szCs w:val="22"/>
              </w:rPr>
            </w:pPr>
            <w:r>
              <w:rPr>
                <w:sz w:val="22"/>
                <w:szCs w:val="22"/>
              </w:rPr>
              <w:t>E：超细粉煤灰复合材料制品的销售所涉及场所的相关环境管理活动</w:t>
            </w:r>
          </w:p>
          <w:p>
            <w:pPr>
              <w:snapToGrid w:val="0"/>
              <w:spacing w:line="0" w:lineRule="atLeast"/>
              <w:jc w:val="left"/>
              <w:rPr>
                <w:sz w:val="22"/>
                <w:szCs w:val="22"/>
              </w:rPr>
            </w:pPr>
            <w:r>
              <w:rPr>
                <w:sz w:val="22"/>
                <w:szCs w:val="22"/>
              </w:rPr>
              <w:t>O：超细粉煤灰复合材料制品的销售所涉及场所的相关职业健康安全管理活动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陕西省铜川市耀州区孙塬镇惠塬村26号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陕西省铜川市耀州区孙塬镇惠塬村26号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drawing>
                <wp:anchor distT="0" distB="0" distL="114300" distR="114300" simplePos="0" relativeHeight="251661312" behindDoc="0" locked="0" layoutInCell="1" allowOverlap="1">
                  <wp:simplePos x="0" y="0"/>
                  <wp:positionH relativeFrom="column">
                    <wp:posOffset>246380</wp:posOffset>
                  </wp:positionH>
                  <wp:positionV relativeFrom="paragraph">
                    <wp:posOffset>233045</wp:posOffset>
                  </wp:positionV>
                  <wp:extent cx="590550" cy="269875"/>
                  <wp:effectExtent l="0" t="0" r="0" b="15875"/>
                  <wp:wrapNone/>
                  <wp:docPr id="2"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24309\AppData\Local\Temp\WeChat Files\5312dc77a33e48f7e27afd135593673.png"/>
                          <pic:cNvPicPr>
                            <a:picLocks noChangeAspect="1" noChangeArrowheads="1"/>
                          </pic:cNvPicPr>
                        </pic:nvPicPr>
                        <pic:blipFill>
                          <a:blip r:embed="rId5" cstate="print"/>
                          <a:srcRect/>
                          <a:stretch>
                            <a:fillRect/>
                          </a:stretch>
                        </pic:blipFill>
                        <pic:spPr>
                          <a:xfrm>
                            <a:off x="0" y="0"/>
                            <a:ext cx="590550" cy="269875"/>
                          </a:xfrm>
                          <a:prstGeom prst="rect">
                            <a:avLst/>
                          </a:prstGeom>
                          <a:noFill/>
                          <a:ln w="9525">
                            <a:noFill/>
                            <a:miter lim="800000"/>
                            <a:headEnd/>
                            <a:tailEnd/>
                          </a:ln>
                        </pic:spPr>
                      </pic:pic>
                    </a:graphicData>
                  </a:graphic>
                </wp:anchor>
              </w:drawing>
            </w:r>
          </w:p>
        </w:tc>
      </w:tr>
    </w:tbl>
    <w:p>
      <w:pPr>
        <w:snapToGrid w:val="0"/>
        <w:spacing w:line="0" w:lineRule="atLeast"/>
        <w:rPr>
          <w:lang w:val="en-GB"/>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b/>
          <w:color w:val="000000" w:themeColor="text1"/>
          <w:sz w:val="18"/>
          <w:szCs w:val="18"/>
          <w:lang w:val="en-GB"/>
        </w:rPr>
      </w:pPr>
      <w:r>
        <w:rPr>
          <w:rFonts w:hint="eastAsia"/>
        </w:rPr>
        <w:t>7、翻译费用可直接与审核费用一同汇入我公司账户或由审核组长从现场带回。</w:t>
      </w:r>
      <w:bookmarkStart w:id="21" w:name="_GoBack"/>
      <w:bookmarkEnd w:id="21"/>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mNDE1OTA0NjMzMTc3MjRkMDFmMDVlMjFhNzg3YjQifQ=="/>
  </w:docVars>
  <w:rsids>
    <w:rsidRoot w:val="00000000"/>
    <w:rsid w:val="2768295E"/>
    <w:rsid w:val="3B944460"/>
    <w:rsid w:val="54FC03E3"/>
    <w:rsid w:val="5EFC4888"/>
    <w:rsid w:val="605326A7"/>
    <w:rsid w:val="64511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0</TotalTime>
  <ScaleCrop>false</ScaleCrop>
  <LinksUpToDate>false</LinksUpToDate>
  <CharactersWithSpaces>2588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2022-08-08T11:46:49Z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2052-11.1.0.12302</vt:lpwstr>
  </property>
</Properties>
</file>