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铜川宝盈粉煤灰综合利用有限公司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陕西省铜川市耀州区孙塬镇惠塬村26号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陕西省铜川市耀州区孙塬镇惠塬村26号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王利平</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18992967603</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1874952083@qq.com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r>
              <w:rPr>
                <w:rFonts w:hint="eastAsia"/>
                <w:sz w:val="21"/>
                <w:szCs w:val="21"/>
              </w:rPr>
              <w:t>张建文</w:t>
            </w:r>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0567-2022-QEO</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w:t>
            </w:r>
            <w:r>
              <w:rPr>
                <w:rFonts w:hint="eastAsia" w:ascii="宋体" w:hAnsi="宋体"/>
                <w:b/>
                <w:bCs/>
                <w:color w:val="0000FF"/>
                <w:sz w:val="20"/>
                <w:lang w:eastAsia="zh-CN"/>
              </w:rPr>
              <w:t>☑</w:t>
            </w:r>
            <w:r>
              <w:rPr>
                <w:rFonts w:hint="eastAsia" w:ascii="宋体" w:hAnsi="宋体"/>
                <w:b/>
                <w:bCs/>
                <w:color w:val="0000FF"/>
                <w:sz w:val="20"/>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lang w:eastAsia="zh-CN"/>
              </w:rPr>
              <w:t>☑</w:t>
            </w:r>
            <w:r>
              <w:rPr>
                <w:rFonts w:hint="eastAsia" w:ascii="宋体" w:hAnsi="宋体"/>
                <w:b/>
                <w:bCs/>
                <w:color w:val="0000FF"/>
                <w:sz w:val="20"/>
              </w:rPr>
              <w:t xml:space="preserve">网络 </w:t>
            </w:r>
            <w:r>
              <w:rPr>
                <w:rFonts w:hint="eastAsia" w:ascii="宋体" w:hAnsi="宋体"/>
                <w:b/>
                <w:bCs/>
                <w:color w:val="0000FF"/>
                <w:sz w:val="20"/>
                <w:lang w:eastAsia="zh-CN"/>
              </w:rPr>
              <w:t>☑</w:t>
            </w:r>
            <w:r>
              <w:rPr>
                <w:rFonts w:hint="eastAsia" w:ascii="宋体" w:hAnsi="宋体"/>
                <w:b/>
                <w:bCs/>
                <w:color w:val="0000FF"/>
                <w:sz w:val="20"/>
              </w:rPr>
              <w:t xml:space="preserve">智能手机  □台式电脑 </w:t>
            </w:r>
            <w:r>
              <w:rPr>
                <w:rFonts w:hint="eastAsia" w:ascii="宋体" w:hAnsi="宋体"/>
                <w:b/>
                <w:bCs/>
                <w:color w:val="0000FF"/>
                <w:sz w:val="20"/>
                <w:lang w:eastAsia="zh-CN"/>
              </w:rPr>
              <w:t>☑</w:t>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4" w:name="审核范围"/>
            <w:r>
              <w:rPr>
                <w:sz w:val="20"/>
              </w:rPr>
              <w:t>Q：超细粉煤灰复合材料制品的销售</w:t>
            </w:r>
          </w:p>
          <w:p>
            <w:pPr>
              <w:rPr>
                <w:sz w:val="20"/>
              </w:rPr>
            </w:pPr>
            <w:r>
              <w:rPr>
                <w:sz w:val="20"/>
              </w:rPr>
              <w:t>E：超细粉煤灰复合材料制品的销售所涉及场所的相关环境管理活动</w:t>
            </w:r>
          </w:p>
          <w:p>
            <w:pPr>
              <w:rPr>
                <w:sz w:val="20"/>
              </w:rPr>
            </w:pPr>
            <w:r>
              <w:rPr>
                <w:sz w:val="20"/>
              </w:rPr>
              <w:t>O：超细粉煤灰复合材料制品的销售所涉及场所的相关职业健康安全管理活动</w:t>
            </w:r>
            <w:bookmarkEnd w:id="24"/>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5" w:name="专业代码"/>
            <w:r>
              <w:rPr>
                <w:sz w:val="20"/>
              </w:rPr>
              <w:t>Q：29.12.00</w:t>
            </w:r>
          </w:p>
          <w:p>
            <w:pPr>
              <w:jc w:val="left"/>
              <w:rPr>
                <w:sz w:val="20"/>
              </w:rPr>
            </w:pPr>
            <w:r>
              <w:rPr>
                <w:sz w:val="20"/>
              </w:rPr>
              <w:t>E：29.12.00</w:t>
            </w:r>
          </w:p>
          <w:p>
            <w:pPr>
              <w:jc w:val="left"/>
              <w:rPr>
                <w:sz w:val="20"/>
              </w:rPr>
            </w:pPr>
            <w:r>
              <w:rPr>
                <w:sz w:val="20"/>
              </w:rPr>
              <w:t>O：29.12.00</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GB/T45001-2020/ISO45001：2020标准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hint="eastAsia" w:ascii="宋体" w:hAnsi="宋体"/>
                <w:b/>
                <w:sz w:val="21"/>
                <w:szCs w:val="21"/>
                <w:lang w:eastAsia="zh-CN"/>
              </w:rPr>
              <w:t>☑</w:t>
            </w:r>
            <w:r>
              <w:rPr>
                <w:rFonts w:hint="eastAsia" w:ascii="宋体" w:hAnsi="宋体"/>
                <w:b/>
                <w:sz w:val="21"/>
                <w:szCs w:val="21"/>
              </w:rPr>
              <w:t>认证合同</w:t>
            </w:r>
          </w:p>
          <w:p>
            <w:pPr>
              <w:jc w:val="left"/>
              <w:rPr>
                <w:b/>
                <w:sz w:val="20"/>
                <w:lang w:val="de-DE"/>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w:t>
            </w:r>
            <w:bookmarkStart w:id="33" w:name="审核日期"/>
            <w:r>
              <w:rPr>
                <w:rFonts w:hint="eastAsia"/>
                <w:b/>
                <w:sz w:val="20"/>
              </w:rPr>
              <w:t>2022年08月09日 上午至2022年08月10日 上午</w:t>
            </w:r>
            <w:bookmarkEnd w:id="33"/>
            <w:r>
              <w:rPr>
                <w:rFonts w:hint="eastAsia"/>
                <w:b/>
                <w:sz w:val="20"/>
              </w:rPr>
              <w:t>(共</w:t>
            </w:r>
            <w:bookmarkStart w:id="34" w:name="审核天数"/>
            <w:r>
              <w:rPr>
                <w:rFonts w:hint="eastAsia"/>
                <w:b/>
                <w:sz w:val="20"/>
              </w:rPr>
              <w:t>1.5</w:t>
            </w:r>
            <w:bookmarkEnd w:id="34"/>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宋明珠</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sz w:val="20"/>
                <w:lang w:val="de-DE"/>
              </w:rPr>
            </w:pPr>
            <w:r>
              <w:rPr>
                <w:sz w:val="20"/>
                <w:lang w:val="de-DE"/>
              </w:rPr>
              <w:t>2021-N1OHSMS-1247783</w:t>
            </w:r>
          </w:p>
        </w:tc>
        <w:tc>
          <w:tcPr>
            <w:tcW w:w="1696" w:type="dxa"/>
            <w:gridSpan w:val="2"/>
            <w:vAlign w:val="center"/>
          </w:tcPr>
          <w:p>
            <w:pPr>
              <w:jc w:val="center"/>
              <w:rPr>
                <w:sz w:val="20"/>
                <w:lang w:val="de-DE"/>
              </w:rPr>
            </w:pPr>
            <w:r>
              <w:rPr>
                <w:sz w:val="20"/>
                <w:lang w:val="de-DE"/>
              </w:rPr>
              <w:t>Q:29.12.00</w:t>
            </w:r>
          </w:p>
          <w:p>
            <w:pPr>
              <w:jc w:val="center"/>
              <w:rPr>
                <w:sz w:val="20"/>
                <w:lang w:val="de-DE"/>
              </w:rPr>
            </w:pPr>
            <w:r>
              <w:rPr>
                <w:sz w:val="20"/>
                <w:lang w:val="de-DE"/>
              </w:rPr>
              <w:t>E:29.12.00</w:t>
            </w:r>
          </w:p>
          <w:p>
            <w:pPr>
              <w:jc w:val="center"/>
              <w:rPr>
                <w:sz w:val="20"/>
                <w:lang w:val="de-DE"/>
              </w:rPr>
            </w:pPr>
            <w:r>
              <w:rPr>
                <w:sz w:val="20"/>
                <w:lang w:val="de-DE"/>
              </w:rPr>
              <w:t>O:29.12.00</w:t>
            </w:r>
          </w:p>
        </w:tc>
        <w:tc>
          <w:tcPr>
            <w:tcW w:w="1299" w:type="dxa"/>
            <w:gridSpan w:val="4"/>
            <w:vAlign w:val="center"/>
          </w:tcPr>
          <w:p>
            <w:pPr>
              <w:jc w:val="center"/>
              <w:rPr>
                <w:sz w:val="20"/>
                <w:lang w:val="de-DE"/>
              </w:rPr>
            </w:pPr>
            <w:r>
              <w:rPr>
                <w:sz w:val="20"/>
                <w:lang w:val="de-DE"/>
              </w:rPr>
              <w:t>15101755070</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sz w:val="20"/>
                <w:lang w:val="de-DE"/>
              </w:rPr>
            </w:pPr>
            <w:r>
              <w:rPr>
                <w:sz w:val="20"/>
                <w:lang w:val="de-DE"/>
              </w:rPr>
              <w:t>陈伟</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2020-N1QMS-1265256</w:t>
            </w:r>
          </w:p>
          <w:p>
            <w:pPr>
              <w:jc w:val="center"/>
              <w:rPr>
                <w:sz w:val="20"/>
                <w:lang w:val="de-DE"/>
              </w:rPr>
            </w:pPr>
            <w:r>
              <w:rPr>
                <w:sz w:val="20"/>
                <w:lang w:val="de-DE"/>
              </w:rPr>
              <w:t>2021-N1EMS-1265256</w:t>
            </w:r>
          </w:p>
        </w:tc>
        <w:tc>
          <w:tcPr>
            <w:tcW w:w="1696" w:type="dxa"/>
            <w:gridSpan w:val="2"/>
            <w:vAlign w:val="center"/>
          </w:tcPr>
          <w:p>
            <w:pPr>
              <w:jc w:val="center"/>
              <w:rPr>
                <w:sz w:val="20"/>
                <w:lang w:val="de-DE"/>
              </w:rPr>
            </w:pPr>
          </w:p>
        </w:tc>
        <w:tc>
          <w:tcPr>
            <w:tcW w:w="1299" w:type="dxa"/>
            <w:gridSpan w:val="4"/>
            <w:vAlign w:val="center"/>
          </w:tcPr>
          <w:p>
            <w:pPr>
              <w:jc w:val="center"/>
              <w:rPr>
                <w:sz w:val="20"/>
                <w:lang w:val="de-DE"/>
              </w:rPr>
            </w:pPr>
            <w:r>
              <w:rPr>
                <w:sz w:val="20"/>
                <w:lang w:val="de-DE"/>
              </w:rPr>
              <w:t>18244225770</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pStyle w:val="3"/>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r>
              <w:drawing>
                <wp:anchor distT="0" distB="0" distL="114300" distR="114300" simplePos="0" relativeHeight="251661312" behindDoc="0" locked="0" layoutInCell="1" allowOverlap="1">
                  <wp:simplePos x="0" y="0"/>
                  <wp:positionH relativeFrom="column">
                    <wp:posOffset>60325</wp:posOffset>
                  </wp:positionH>
                  <wp:positionV relativeFrom="paragraph">
                    <wp:posOffset>123825</wp:posOffset>
                  </wp:positionV>
                  <wp:extent cx="590550" cy="269875"/>
                  <wp:effectExtent l="0" t="0" r="0" b="15875"/>
                  <wp:wrapNone/>
                  <wp:docPr id="1" name="图片 1" descr="C:\Users\24309\AppData\Local\Temp\WeChat Files\5312dc77a33e48f7e27afd135593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312dc77a33e48f7e27afd135593673.png"/>
                          <pic:cNvPicPr>
                            <a:picLocks noChangeAspect="1" noChangeArrowheads="1"/>
                          </pic:cNvPicPr>
                        </pic:nvPicPr>
                        <pic:blipFill>
                          <a:blip r:embed="rId5" cstate="print"/>
                          <a:srcRect/>
                          <a:stretch>
                            <a:fillRect/>
                          </a:stretch>
                        </pic:blipFill>
                        <pic:spPr>
                          <a:xfrm>
                            <a:off x="0" y="0"/>
                            <a:ext cx="590550" cy="269875"/>
                          </a:xfrm>
                          <a:prstGeom prst="rect">
                            <a:avLst/>
                          </a:prstGeom>
                          <a:noFill/>
                          <a:ln w="9525">
                            <a:noFill/>
                            <a:miter lim="800000"/>
                            <a:headEnd/>
                            <a:tailEnd/>
                          </a:ln>
                        </pic:spPr>
                      </pic:pic>
                    </a:graphicData>
                  </a:graphic>
                </wp:anchor>
              </w:drawing>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5" w:name="审核派遣人"/>
            <w:r>
              <w:rPr>
                <w:sz w:val="21"/>
                <w:szCs w:val="21"/>
              </w:rPr>
              <w:t>李永忠</w:t>
            </w:r>
            <w:bookmarkEnd w:id="35"/>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sz w:val="21"/>
                <w:szCs w:val="21"/>
              </w:rPr>
            </w:pPr>
            <w:r>
              <w:rPr>
                <w:sz w:val="20"/>
                <w:lang w:val="de-DE"/>
              </w:rPr>
              <w:t>15101755070</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2022.8.8</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hint="eastAsia"/>
                <w:sz w:val="21"/>
                <w:szCs w:val="21"/>
                <w:lang w:val="en-US" w:eastAsia="zh-CN"/>
              </w:rPr>
              <w:t>2022.8.8</w:t>
            </w: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p>
        </w:tc>
      </w:tr>
    </w:tbl>
    <w:p/>
    <w:tbl>
      <w:tblPr>
        <w:tblStyle w:val="6"/>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639"/>
        <w:gridCol w:w="992"/>
        <w:gridCol w:w="567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436" w:type="dxa"/>
            <w:gridSpan w:val="5"/>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70"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639"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99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67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065"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70" w:type="dxa"/>
            <w:vMerge w:val="restart"/>
            <w:tcBorders>
              <w:left w:val="single" w:color="auto" w:sz="8" w:space="0"/>
            </w:tcBorders>
            <w:vAlign w:val="center"/>
          </w:tcPr>
          <w:p>
            <w:pPr>
              <w:snapToGrid w:val="0"/>
              <w:spacing w:line="240" w:lineRule="auto"/>
              <w:jc w:val="center"/>
              <w:rPr>
                <w:rFonts w:hint="eastAsia" w:ascii="宋体" w:hAnsi="宋体" w:eastAsia="宋体" w:cs="新宋体"/>
                <w:b w:val="0"/>
                <w:bCs w:val="0"/>
                <w:sz w:val="21"/>
                <w:szCs w:val="21"/>
                <w:lang w:val="en-US" w:eastAsia="zh-CN"/>
              </w:rPr>
            </w:pPr>
            <w:r>
              <w:rPr>
                <w:rFonts w:hint="eastAsia" w:ascii="宋体" w:hAnsi="宋体" w:eastAsia="宋体" w:cs="新宋体"/>
                <w:b w:val="0"/>
                <w:bCs w:val="0"/>
                <w:sz w:val="21"/>
                <w:szCs w:val="21"/>
                <w:lang w:val="en-US" w:eastAsia="zh-CN"/>
              </w:rPr>
              <w:t>8</w:t>
            </w:r>
          </w:p>
          <w:p>
            <w:pPr>
              <w:snapToGrid w:val="0"/>
              <w:spacing w:line="240" w:lineRule="auto"/>
              <w:jc w:val="center"/>
              <w:rPr>
                <w:rFonts w:hint="eastAsia" w:ascii="宋体" w:hAnsi="宋体" w:eastAsia="宋体" w:cs="新宋体"/>
                <w:b w:val="0"/>
                <w:bCs w:val="0"/>
                <w:sz w:val="21"/>
                <w:szCs w:val="21"/>
              </w:rPr>
            </w:pPr>
            <w:r>
              <w:rPr>
                <w:rFonts w:hint="eastAsia" w:ascii="宋体" w:hAnsi="宋体" w:eastAsia="宋体" w:cs="新宋体"/>
                <w:b w:val="0"/>
                <w:bCs w:val="0"/>
                <w:sz w:val="21"/>
                <w:szCs w:val="21"/>
              </w:rPr>
              <w:t>月</w:t>
            </w:r>
          </w:p>
          <w:p>
            <w:pPr>
              <w:snapToGrid w:val="0"/>
              <w:spacing w:line="240" w:lineRule="auto"/>
              <w:jc w:val="center"/>
              <w:rPr>
                <w:rFonts w:hint="eastAsia" w:ascii="宋体" w:hAnsi="宋体" w:eastAsia="宋体" w:cs="新宋体"/>
                <w:b w:val="0"/>
                <w:bCs w:val="0"/>
                <w:sz w:val="21"/>
                <w:szCs w:val="21"/>
                <w:lang w:val="en-US" w:eastAsia="zh-CN"/>
              </w:rPr>
            </w:pPr>
            <w:r>
              <w:rPr>
                <w:rFonts w:hint="eastAsia" w:ascii="宋体" w:hAnsi="宋体" w:eastAsia="宋体" w:cs="新宋体"/>
                <w:b w:val="0"/>
                <w:bCs w:val="0"/>
                <w:sz w:val="21"/>
                <w:szCs w:val="21"/>
                <w:lang w:val="en-US" w:eastAsia="zh-CN"/>
              </w:rPr>
              <w:t>9</w:t>
            </w:r>
          </w:p>
          <w:p>
            <w:pPr>
              <w:snapToGrid w:val="0"/>
              <w:spacing w:line="240" w:lineRule="auto"/>
              <w:jc w:val="center"/>
              <w:rPr>
                <w:rFonts w:hint="eastAsia" w:ascii="宋体" w:hAnsi="宋体" w:eastAsia="宋体" w:cs="新宋体"/>
                <w:b w:val="0"/>
                <w:bCs w:val="0"/>
                <w:sz w:val="21"/>
                <w:szCs w:val="21"/>
              </w:rPr>
            </w:pPr>
            <w:r>
              <w:rPr>
                <w:rFonts w:hint="eastAsia" w:ascii="宋体" w:hAnsi="宋体" w:eastAsia="宋体" w:cs="新宋体"/>
                <w:b w:val="0"/>
                <w:bCs w:val="0"/>
                <w:sz w:val="21"/>
                <w:szCs w:val="21"/>
              </w:rPr>
              <w:t>日</w:t>
            </w:r>
          </w:p>
          <w:p>
            <w:pPr>
              <w:snapToGrid w:val="0"/>
              <w:spacing w:line="240" w:lineRule="auto"/>
              <w:jc w:val="center"/>
              <w:rPr>
                <w:rFonts w:hint="eastAsia" w:ascii="宋体" w:hAnsi="宋体" w:eastAsia="宋体" w:cs="新宋体"/>
                <w:b w:val="0"/>
                <w:bCs w:val="0"/>
                <w:sz w:val="21"/>
                <w:szCs w:val="21"/>
              </w:rPr>
            </w:pPr>
            <w:r>
              <w:rPr>
                <w:rFonts w:hint="eastAsia" w:ascii="宋体" w:hAnsi="宋体" w:eastAsia="宋体" w:cs="新宋体"/>
                <w:sz w:val="18"/>
                <w:szCs w:val="18"/>
                <w:lang w:val="en-US" w:eastAsia="zh-CN"/>
              </w:rPr>
              <w:t>（午</w:t>
            </w:r>
            <w:r>
              <w:rPr>
                <w:rFonts w:hint="eastAsia" w:ascii="宋体" w:hAnsi="宋体" w:cs="新宋体"/>
                <w:sz w:val="18"/>
                <w:szCs w:val="18"/>
                <w:lang w:val="en-US" w:eastAsia="zh-CN"/>
              </w:rPr>
              <w:t>休</w:t>
            </w:r>
            <w:r>
              <w:rPr>
                <w:rFonts w:hint="eastAsia" w:ascii="宋体" w:hAnsi="宋体" w:eastAsia="宋体" w:cs="新宋体"/>
                <w:sz w:val="18"/>
                <w:szCs w:val="18"/>
                <w:lang w:val="en-US" w:eastAsia="zh-CN"/>
              </w:rPr>
              <w:t>12：00-1</w:t>
            </w:r>
            <w:r>
              <w:rPr>
                <w:rFonts w:hint="eastAsia" w:ascii="宋体" w:hAnsi="宋体" w:cs="新宋体"/>
                <w:sz w:val="18"/>
                <w:szCs w:val="18"/>
                <w:lang w:val="en-US" w:eastAsia="zh-CN"/>
              </w:rPr>
              <w:t>2</w:t>
            </w:r>
            <w:r>
              <w:rPr>
                <w:rFonts w:hint="eastAsia" w:ascii="宋体" w:hAnsi="宋体" w:eastAsia="宋体" w:cs="新宋体"/>
                <w:sz w:val="18"/>
                <w:szCs w:val="18"/>
                <w:lang w:val="en-US" w:eastAsia="zh-CN"/>
              </w:rPr>
              <w:t>：</w:t>
            </w:r>
            <w:r>
              <w:rPr>
                <w:rFonts w:hint="eastAsia" w:ascii="宋体" w:hAnsi="宋体" w:cs="新宋体"/>
                <w:sz w:val="18"/>
                <w:szCs w:val="18"/>
                <w:lang w:val="en-US" w:eastAsia="zh-CN"/>
              </w:rPr>
              <w:t>3</w:t>
            </w:r>
            <w:r>
              <w:rPr>
                <w:rFonts w:hint="eastAsia" w:ascii="宋体" w:hAnsi="宋体" w:eastAsia="宋体" w:cs="新宋体"/>
                <w:sz w:val="18"/>
                <w:szCs w:val="18"/>
                <w:lang w:val="en-US" w:eastAsia="zh-CN"/>
              </w:rPr>
              <w:t>0）</w:t>
            </w:r>
          </w:p>
          <w:p>
            <w:pPr>
              <w:snapToGrid w:val="0"/>
              <w:spacing w:line="320" w:lineRule="exact"/>
              <w:jc w:val="center"/>
              <w:rPr>
                <w:rFonts w:ascii="宋体" w:hAnsi="宋体"/>
                <w:b w:val="0"/>
                <w:bCs w:val="0"/>
                <w:sz w:val="21"/>
                <w:szCs w:val="21"/>
              </w:rPr>
            </w:pPr>
          </w:p>
          <w:p>
            <w:pPr>
              <w:snapToGrid w:val="0"/>
              <w:spacing w:line="280" w:lineRule="exact"/>
              <w:jc w:val="center"/>
              <w:rPr>
                <w:rFonts w:ascii="宋体" w:hAnsi="宋体"/>
                <w:b w:val="0"/>
                <w:bCs w:val="0"/>
                <w:sz w:val="21"/>
                <w:szCs w:val="21"/>
              </w:rPr>
            </w:pPr>
          </w:p>
        </w:tc>
        <w:tc>
          <w:tcPr>
            <w:tcW w:w="1639" w:type="dxa"/>
            <w:vAlign w:val="center"/>
          </w:tcPr>
          <w:p>
            <w:pPr>
              <w:snapToGrid w:val="0"/>
              <w:spacing w:line="280" w:lineRule="exact"/>
              <w:jc w:val="center"/>
              <w:rPr>
                <w:rFonts w:ascii="宋体" w:hAnsi="宋体"/>
                <w:b w:val="0"/>
                <w:bCs w:val="0"/>
                <w:sz w:val="21"/>
                <w:szCs w:val="21"/>
              </w:rPr>
            </w:pPr>
            <w:r>
              <w:rPr>
                <w:rFonts w:hint="eastAsia" w:ascii="宋体" w:hAnsi="宋体"/>
                <w:b w:val="0"/>
                <w:bCs w:val="0"/>
                <w:sz w:val="18"/>
              </w:rPr>
              <w:t>8:</w:t>
            </w:r>
            <w:r>
              <w:rPr>
                <w:rFonts w:hint="eastAsia" w:ascii="宋体" w:hAnsi="宋体"/>
                <w:b w:val="0"/>
                <w:bCs w:val="0"/>
                <w:sz w:val="18"/>
                <w:lang w:val="en-US" w:eastAsia="zh-CN"/>
              </w:rPr>
              <w:t>3</w:t>
            </w:r>
            <w:r>
              <w:rPr>
                <w:rFonts w:hint="eastAsia" w:ascii="宋体" w:hAnsi="宋体"/>
                <w:b w:val="0"/>
                <w:bCs w:val="0"/>
                <w:sz w:val="18"/>
              </w:rPr>
              <w:t>0-</w:t>
            </w:r>
            <w:r>
              <w:rPr>
                <w:rFonts w:hint="eastAsia" w:ascii="宋体" w:hAnsi="宋体"/>
                <w:b w:val="0"/>
                <w:bCs w:val="0"/>
                <w:sz w:val="18"/>
                <w:lang w:val="en-US" w:eastAsia="zh-CN"/>
              </w:rPr>
              <w:t>9</w:t>
            </w:r>
            <w:r>
              <w:rPr>
                <w:rFonts w:hint="eastAsia" w:ascii="宋体" w:hAnsi="宋体"/>
                <w:b w:val="0"/>
                <w:bCs w:val="0"/>
                <w:sz w:val="18"/>
              </w:rPr>
              <w:t>:</w:t>
            </w:r>
            <w:r>
              <w:rPr>
                <w:rFonts w:hint="eastAsia" w:ascii="宋体" w:hAnsi="宋体"/>
                <w:b w:val="0"/>
                <w:bCs w:val="0"/>
                <w:sz w:val="18"/>
                <w:lang w:val="en-US" w:eastAsia="zh-CN"/>
              </w:rPr>
              <w:t>0</w:t>
            </w:r>
            <w:r>
              <w:rPr>
                <w:rFonts w:hint="eastAsia" w:ascii="宋体" w:hAnsi="宋体"/>
                <w:b w:val="0"/>
                <w:bCs w:val="0"/>
                <w:sz w:val="18"/>
              </w:rPr>
              <w:t>0</w:t>
            </w:r>
          </w:p>
        </w:tc>
        <w:tc>
          <w:tcPr>
            <w:tcW w:w="6662" w:type="dxa"/>
            <w:gridSpan w:val="2"/>
            <w:vAlign w:val="center"/>
          </w:tcPr>
          <w:p>
            <w:pPr>
              <w:rPr>
                <w:rFonts w:hint="eastAsia" w:ascii="宋体" w:hAnsi="宋体" w:eastAsia="宋体"/>
                <w:b w:val="0"/>
                <w:bCs w:val="0"/>
                <w:sz w:val="18"/>
                <w:lang w:eastAsia="zh-CN"/>
              </w:rPr>
            </w:pPr>
            <w:r>
              <w:rPr>
                <w:rFonts w:hint="eastAsia" w:ascii="宋体" w:hAnsi="宋体" w:eastAsia="宋体" w:cs="Times New Roman"/>
                <w:b w:val="0"/>
                <w:bCs w:val="0"/>
                <w:sz w:val="18"/>
              </w:rPr>
              <w:t>首次会议</w:t>
            </w:r>
          </w:p>
        </w:tc>
        <w:tc>
          <w:tcPr>
            <w:tcW w:w="1065" w:type="dxa"/>
            <w:tcBorders>
              <w:right w:val="single" w:color="auto" w:sz="8" w:space="0"/>
            </w:tcBorders>
            <w:vAlign w:val="center"/>
          </w:tcPr>
          <w:p>
            <w:pPr>
              <w:snapToGrid w:val="0"/>
              <w:spacing w:line="280" w:lineRule="exact"/>
              <w:jc w:val="center"/>
              <w:rPr>
                <w:rFonts w:ascii="宋体" w:hAnsi="宋体"/>
                <w:b w:val="0"/>
                <w:bCs w:val="0"/>
                <w:sz w:val="21"/>
                <w:szCs w:val="21"/>
              </w:rPr>
            </w:pPr>
            <w:r>
              <w:rPr>
                <w:rFonts w:hint="eastAsia" w:ascii="宋体" w:hAnsi="宋体"/>
                <w:b w:val="0"/>
                <w:bCs w:val="0"/>
                <w:sz w:val="18"/>
                <w:lang w:eastAsia="zh-CN"/>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2" w:hRule="atLeast"/>
          <w:jc w:val="center"/>
        </w:trPr>
        <w:tc>
          <w:tcPr>
            <w:tcW w:w="1070" w:type="dxa"/>
            <w:vMerge w:val="continue"/>
            <w:tcBorders>
              <w:left w:val="single" w:color="auto" w:sz="8" w:space="0"/>
            </w:tcBorders>
            <w:vAlign w:val="center"/>
          </w:tcPr>
          <w:p>
            <w:pPr>
              <w:snapToGrid w:val="0"/>
              <w:spacing w:line="320" w:lineRule="exact"/>
              <w:jc w:val="center"/>
              <w:rPr>
                <w:rFonts w:ascii="宋体" w:hAnsi="宋体"/>
                <w:b w:val="0"/>
                <w:bCs w:val="0"/>
                <w:sz w:val="21"/>
                <w:szCs w:val="21"/>
              </w:rPr>
            </w:pPr>
          </w:p>
        </w:tc>
        <w:tc>
          <w:tcPr>
            <w:tcW w:w="1639" w:type="dxa"/>
            <w:vMerge w:val="restart"/>
            <w:vAlign w:val="center"/>
          </w:tcPr>
          <w:p>
            <w:pPr>
              <w:snapToGrid w:val="0"/>
              <w:spacing w:line="280" w:lineRule="exact"/>
              <w:jc w:val="center"/>
              <w:rPr>
                <w:rFonts w:hint="eastAsia" w:ascii="宋体" w:hAnsi="宋体" w:eastAsia="宋体" w:cs="Times New Roman"/>
                <w:b w:val="0"/>
                <w:bCs w:val="0"/>
                <w:sz w:val="18"/>
                <w:lang w:val="en-US" w:eastAsia="zh-CN"/>
              </w:rPr>
            </w:pPr>
            <w:r>
              <w:rPr>
                <w:rFonts w:hint="eastAsia" w:ascii="宋体" w:hAnsi="宋体"/>
                <w:b w:val="0"/>
                <w:bCs w:val="0"/>
                <w:sz w:val="18"/>
                <w:lang w:val="en-US" w:eastAsia="zh-CN"/>
              </w:rPr>
              <w:t>9</w:t>
            </w:r>
            <w:r>
              <w:rPr>
                <w:rFonts w:hint="eastAsia" w:ascii="宋体" w:hAnsi="宋体"/>
                <w:b w:val="0"/>
                <w:bCs w:val="0"/>
                <w:sz w:val="18"/>
              </w:rPr>
              <w:t>:</w:t>
            </w:r>
            <w:r>
              <w:rPr>
                <w:rFonts w:hint="eastAsia" w:ascii="宋体" w:hAnsi="宋体"/>
                <w:b w:val="0"/>
                <w:bCs w:val="0"/>
                <w:sz w:val="18"/>
                <w:lang w:val="en-US" w:eastAsia="zh-CN"/>
              </w:rPr>
              <w:t>0</w:t>
            </w:r>
            <w:r>
              <w:rPr>
                <w:rFonts w:hint="eastAsia" w:ascii="宋体" w:hAnsi="宋体"/>
                <w:b w:val="0"/>
                <w:bCs w:val="0"/>
                <w:sz w:val="18"/>
              </w:rPr>
              <w:t>0</w:t>
            </w:r>
            <w:r>
              <w:rPr>
                <w:rFonts w:hint="eastAsia" w:ascii="宋体" w:hAnsi="宋体" w:eastAsia="宋体" w:cs="Times New Roman"/>
                <w:b w:val="0"/>
                <w:bCs w:val="0"/>
                <w:sz w:val="18"/>
                <w:lang w:val="en-US" w:eastAsia="zh-CN"/>
              </w:rPr>
              <w:t>-12:00</w:t>
            </w:r>
          </w:p>
          <w:p>
            <w:pPr>
              <w:snapToGrid w:val="0"/>
              <w:spacing w:line="240" w:lineRule="auto"/>
              <w:jc w:val="center"/>
              <w:rPr>
                <w:rFonts w:ascii="宋体" w:hAnsi="宋体"/>
                <w:b w:val="0"/>
                <w:bCs w:val="0"/>
                <w:sz w:val="21"/>
                <w:szCs w:val="21"/>
              </w:rPr>
            </w:pPr>
          </w:p>
        </w:tc>
        <w:tc>
          <w:tcPr>
            <w:tcW w:w="992" w:type="dxa"/>
            <w:vMerge w:val="restart"/>
          </w:tcPr>
          <w:p>
            <w:pPr>
              <w:spacing w:line="240" w:lineRule="auto"/>
              <w:rPr>
                <w:rFonts w:ascii="宋体" w:hAnsi="宋体"/>
                <w:b w:val="0"/>
                <w:bCs w:val="0"/>
                <w:sz w:val="21"/>
                <w:szCs w:val="21"/>
              </w:rPr>
            </w:pPr>
            <w:r>
              <w:rPr>
                <w:rFonts w:hint="eastAsia" w:ascii="宋体" w:hAnsi="宋体"/>
                <w:b w:val="0"/>
                <w:bCs w:val="0"/>
                <w:sz w:val="18"/>
              </w:rPr>
              <w:t>管理层</w:t>
            </w:r>
          </w:p>
        </w:tc>
        <w:tc>
          <w:tcPr>
            <w:tcW w:w="5670" w:type="dxa"/>
          </w:tcPr>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QMS</w:t>
            </w:r>
            <w:r>
              <w:rPr>
                <w:rFonts w:hint="eastAsia" w:ascii="宋体" w:hAnsi="宋体" w:cs="新宋体"/>
                <w:sz w:val="18"/>
                <w:szCs w:val="18"/>
                <w:highlight w:val="none"/>
                <w:lang w:val="en-US" w:eastAsia="zh-CN"/>
              </w:rPr>
              <w:t>：</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总则；7.1.6组织知识；7.4沟通；9.1.1监测、分析和评价总则；9.2内部审核；9.3管理评审；10.1改进 总则；10.3持续改进</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EMS</w:t>
            </w:r>
            <w:r>
              <w:rPr>
                <w:rFonts w:hint="eastAsia" w:ascii="宋体" w:hAnsi="宋体" w:cs="新宋体"/>
                <w:sz w:val="18"/>
                <w:szCs w:val="18"/>
                <w:highlight w:val="none"/>
                <w:lang w:val="en-US" w:eastAsia="zh-CN"/>
              </w:rPr>
              <w:t>：</w:t>
            </w:r>
          </w:p>
          <w:p>
            <w:pPr>
              <w:snapToGrid w:val="0"/>
              <w:spacing w:line="240" w:lineRule="exact"/>
              <w:rPr>
                <w:rFonts w:ascii="宋体" w:hAnsi="宋体" w:cs="新宋体"/>
                <w:b w:val="0"/>
                <w:bCs w:val="0"/>
                <w:sz w:val="18"/>
                <w:szCs w:val="18"/>
              </w:rPr>
            </w:pPr>
            <w:r>
              <w:rPr>
                <w:rFonts w:hint="eastAsia" w:ascii="宋体" w:hAnsi="宋体" w:eastAsia="宋体" w:cs="新宋体"/>
                <w:sz w:val="18"/>
                <w:szCs w:val="18"/>
                <w:highlight w:val="none"/>
                <w:lang w:val="en-US" w:eastAsia="zh-CN"/>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tc>
        <w:tc>
          <w:tcPr>
            <w:tcW w:w="1065" w:type="dxa"/>
            <w:tcBorders>
              <w:right w:val="single" w:color="auto" w:sz="8" w:space="0"/>
            </w:tcBorders>
          </w:tcPr>
          <w:p>
            <w:pPr>
              <w:snapToGrid w:val="0"/>
              <w:spacing w:line="320" w:lineRule="exact"/>
              <w:rPr>
                <w:rFonts w:hint="default" w:ascii="宋体" w:hAnsi="宋体" w:eastAsia="宋体"/>
                <w:b w:val="0"/>
                <w:bCs w:val="0"/>
                <w:sz w:val="18"/>
                <w:szCs w:val="18"/>
                <w:lang w:val="en-US" w:eastAsia="zh-CN"/>
              </w:rPr>
            </w:pPr>
            <w:r>
              <w:rPr>
                <w:rFonts w:hint="eastAsia" w:ascii="宋体" w:hAnsi="宋体" w:eastAsia="宋体"/>
                <w:b w:val="0"/>
                <w:bCs w:val="0"/>
                <w:sz w:val="18"/>
                <w:szCs w:val="18"/>
                <w:lang w:eastAsia="zh-CN"/>
              </w:rPr>
              <w:t>陈伟</w:t>
            </w:r>
            <w:r>
              <w:rPr>
                <w:rFonts w:hint="eastAsia" w:ascii="宋体" w:hAnsi="宋体" w:eastAsia="宋体"/>
                <w:b w:val="0"/>
                <w:bCs w:val="0"/>
                <w:sz w:val="18"/>
                <w:szCs w:val="18"/>
                <w:lang w:val="en-US" w:eastAsia="zh-CN"/>
              </w:rPr>
              <w:t>/微信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8" w:hRule="atLeast"/>
          <w:jc w:val="center"/>
        </w:trPr>
        <w:tc>
          <w:tcPr>
            <w:tcW w:w="1070" w:type="dxa"/>
            <w:vMerge w:val="continue"/>
            <w:tcBorders>
              <w:left w:val="single" w:color="auto" w:sz="8" w:space="0"/>
            </w:tcBorders>
            <w:vAlign w:val="center"/>
          </w:tcPr>
          <w:p>
            <w:pPr>
              <w:snapToGrid w:val="0"/>
              <w:spacing w:line="240" w:lineRule="exact"/>
            </w:pPr>
          </w:p>
        </w:tc>
        <w:tc>
          <w:tcPr>
            <w:tcW w:w="1639" w:type="dxa"/>
            <w:vMerge w:val="continue"/>
            <w:vAlign w:val="center"/>
          </w:tcPr>
          <w:p>
            <w:pPr>
              <w:snapToGrid w:val="0"/>
              <w:spacing w:line="280" w:lineRule="exact"/>
              <w:jc w:val="center"/>
            </w:pPr>
          </w:p>
        </w:tc>
        <w:tc>
          <w:tcPr>
            <w:tcW w:w="992" w:type="dxa"/>
            <w:vMerge w:val="continue"/>
          </w:tcPr>
          <w:p>
            <w:pPr>
              <w:snapToGrid w:val="0"/>
              <w:spacing w:line="240" w:lineRule="exact"/>
            </w:pPr>
          </w:p>
        </w:tc>
        <w:tc>
          <w:tcPr>
            <w:tcW w:w="5670" w:type="dxa"/>
          </w:tcPr>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eastAsia="宋体" w:cs="新宋体"/>
                <w:sz w:val="18"/>
                <w:szCs w:val="18"/>
                <w:highlight w:val="none"/>
                <w:lang w:val="de-DE" w:eastAsia="zh-CN"/>
              </w:rPr>
              <w:t>OHSMS</w:t>
            </w:r>
            <w:r>
              <w:rPr>
                <w:rFonts w:hint="eastAsia" w:ascii="宋体" w:hAnsi="宋体" w:cs="新宋体"/>
                <w:sz w:val="18"/>
                <w:szCs w:val="18"/>
                <w:highlight w:val="none"/>
                <w:lang w:val="en-US" w:eastAsia="zh-CN"/>
              </w:rPr>
              <w:t>：</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4.1组织及其环境;4.2相关方需求与期望;4.3确定体系范围;4.4体系;5.1领导作用与承诺;5.2方针;5.3组织的角色、职责和权限；6.1应对风险和机遇的措施6.1.4措施的策划；6.2目标及其实现的策划；7.1资源；7.4信息和沟通；9.1监视、测量、分析和评价；9.2内部审核；9.3管理评审；10.1事件、不符合和纠正措施；10.2持续改进。范围的确认、资质的确认、法律法规执行情况、质量抽查及顾客投诉情况、一阶段不符合的验证。</w:t>
            </w:r>
          </w:p>
        </w:tc>
        <w:tc>
          <w:tcPr>
            <w:tcW w:w="1065" w:type="dxa"/>
            <w:tcBorders>
              <w:right w:val="single" w:color="auto" w:sz="8" w:space="0"/>
            </w:tcBorders>
          </w:tcPr>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宋明珠</w:t>
            </w:r>
            <w:r>
              <w:rPr>
                <w:rFonts w:hint="eastAsia" w:ascii="宋体" w:hAnsi="宋体" w:eastAsia="宋体"/>
                <w:b w:val="0"/>
                <w:bCs w:val="0"/>
                <w:sz w:val="18"/>
                <w:szCs w:val="18"/>
                <w:lang w:val="en-US" w:eastAsia="zh-CN"/>
              </w:rPr>
              <w:t>/微信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1070" w:type="dxa"/>
            <w:vMerge w:val="continue"/>
            <w:tcBorders>
              <w:left w:val="single" w:color="auto" w:sz="8" w:space="0"/>
            </w:tcBorders>
            <w:vAlign w:val="center"/>
          </w:tcPr>
          <w:p>
            <w:pPr>
              <w:snapToGrid w:val="0"/>
              <w:spacing w:line="320" w:lineRule="exact"/>
              <w:jc w:val="center"/>
              <w:rPr>
                <w:rFonts w:ascii="宋体" w:hAnsi="宋体"/>
                <w:b w:val="0"/>
                <w:bCs w:val="0"/>
                <w:sz w:val="21"/>
                <w:szCs w:val="21"/>
              </w:rPr>
            </w:pPr>
          </w:p>
        </w:tc>
        <w:tc>
          <w:tcPr>
            <w:tcW w:w="1639" w:type="dxa"/>
            <w:vMerge w:val="restart"/>
            <w:vAlign w:val="center"/>
          </w:tcPr>
          <w:p>
            <w:pPr>
              <w:snapToGrid w:val="0"/>
              <w:spacing w:line="320" w:lineRule="exact"/>
              <w:jc w:val="center"/>
              <w:rPr>
                <w:rFonts w:ascii="宋体" w:hAnsi="宋体"/>
                <w:b w:val="0"/>
                <w:bCs w:val="0"/>
                <w:sz w:val="21"/>
                <w:szCs w:val="21"/>
              </w:rPr>
            </w:pPr>
            <w:r>
              <w:rPr>
                <w:rFonts w:hint="eastAsia" w:ascii="宋体" w:hAnsi="宋体"/>
                <w:b w:val="0"/>
                <w:bCs w:val="0"/>
                <w:sz w:val="18"/>
                <w:lang w:val="en-US" w:eastAsia="zh-CN"/>
              </w:rPr>
              <w:t>12</w:t>
            </w:r>
            <w:r>
              <w:rPr>
                <w:rFonts w:hint="eastAsia" w:ascii="宋体" w:hAnsi="宋体"/>
                <w:b w:val="0"/>
                <w:bCs w:val="0"/>
                <w:sz w:val="18"/>
              </w:rPr>
              <w:t>:</w:t>
            </w:r>
            <w:r>
              <w:rPr>
                <w:rFonts w:hint="eastAsia" w:ascii="宋体" w:hAnsi="宋体"/>
                <w:b w:val="0"/>
                <w:bCs w:val="0"/>
                <w:sz w:val="18"/>
                <w:lang w:val="en-US" w:eastAsia="zh-CN"/>
              </w:rPr>
              <w:t>3</w:t>
            </w:r>
            <w:r>
              <w:rPr>
                <w:rFonts w:hint="eastAsia" w:ascii="宋体" w:hAnsi="宋体"/>
                <w:b w:val="0"/>
                <w:bCs w:val="0"/>
                <w:sz w:val="18"/>
              </w:rPr>
              <w:t>0</w:t>
            </w:r>
            <w:r>
              <w:rPr>
                <w:rFonts w:hint="eastAsia" w:ascii="宋体" w:hAnsi="宋体" w:eastAsia="宋体" w:cs="Times New Roman"/>
                <w:b w:val="0"/>
                <w:bCs w:val="0"/>
                <w:sz w:val="18"/>
                <w:lang w:val="en-US" w:eastAsia="zh-CN"/>
              </w:rPr>
              <w:t>-17:00</w:t>
            </w:r>
          </w:p>
        </w:tc>
        <w:tc>
          <w:tcPr>
            <w:tcW w:w="992" w:type="dxa"/>
            <w:vMerge w:val="restart"/>
          </w:tcPr>
          <w:p>
            <w:pPr>
              <w:spacing w:line="240" w:lineRule="auto"/>
              <w:rPr>
                <w:rFonts w:hint="eastAsia" w:ascii="宋体" w:hAnsi="宋体"/>
                <w:b w:val="0"/>
                <w:bCs w:val="0"/>
                <w:sz w:val="18"/>
              </w:rPr>
            </w:pPr>
            <w:r>
              <w:rPr>
                <w:rFonts w:hint="eastAsia" w:ascii="宋体" w:hAnsi="宋体" w:eastAsia="宋体" w:cs="Times New Roman"/>
                <w:b w:val="0"/>
                <w:bCs w:val="0"/>
                <w:sz w:val="18"/>
                <w:lang w:eastAsia="zh-CN"/>
              </w:rPr>
              <w:t>综合部</w:t>
            </w:r>
          </w:p>
        </w:tc>
        <w:tc>
          <w:tcPr>
            <w:tcW w:w="5670" w:type="dxa"/>
          </w:tcPr>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QMS</w:t>
            </w:r>
            <w:r>
              <w:rPr>
                <w:rFonts w:hint="eastAsia" w:ascii="宋体" w:hAnsi="宋体" w:cs="新宋体"/>
                <w:sz w:val="18"/>
                <w:szCs w:val="18"/>
                <w:highlight w:val="none"/>
                <w:lang w:val="en-US" w:eastAsia="zh-CN"/>
              </w:rPr>
              <w:t>：</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5.3组织的角色、职责和权限；6.2质量目标及其实现的策划；7.1.2人员；7.2能力；7.3意识；7.4沟通；7.5文件化信息；8.4外部提供供方的控制；9.1.3分析和评价；</w:t>
            </w:r>
            <w:bookmarkStart w:id="36" w:name="_GoBack"/>
            <w:bookmarkEnd w:id="36"/>
            <w:r>
              <w:rPr>
                <w:rFonts w:hint="eastAsia" w:ascii="宋体" w:hAnsi="宋体" w:eastAsia="宋体" w:cs="新宋体"/>
                <w:sz w:val="18"/>
                <w:szCs w:val="18"/>
                <w:highlight w:val="none"/>
                <w:lang w:val="en-US" w:eastAsia="zh-CN"/>
              </w:rPr>
              <w:t>10.2不符合和纠正措施</w:t>
            </w:r>
          </w:p>
        </w:tc>
        <w:tc>
          <w:tcPr>
            <w:tcW w:w="1065" w:type="dxa"/>
            <w:tcBorders>
              <w:right w:val="single" w:color="auto" w:sz="8" w:space="0"/>
            </w:tcBorders>
          </w:tcPr>
          <w:p>
            <w:pPr>
              <w:snapToGrid w:val="0"/>
              <w:spacing w:line="320" w:lineRule="exact"/>
              <w:rPr>
                <w:rFonts w:hint="default" w:ascii="宋体" w:hAnsi="宋体"/>
                <w:b w:val="0"/>
                <w:bCs w:val="0"/>
                <w:sz w:val="18"/>
                <w:szCs w:val="18"/>
                <w:lang w:val="en-US" w:eastAsia="zh-CN"/>
              </w:rPr>
            </w:pPr>
            <w:r>
              <w:rPr>
                <w:rFonts w:hint="eastAsia" w:ascii="宋体" w:hAnsi="宋体"/>
                <w:b w:val="0"/>
                <w:bCs w:val="0"/>
                <w:sz w:val="18"/>
                <w:szCs w:val="18"/>
                <w:lang w:val="en-US" w:eastAsia="zh-CN"/>
              </w:rPr>
              <w:t>陈伟</w:t>
            </w:r>
            <w:r>
              <w:rPr>
                <w:rFonts w:hint="eastAsia" w:ascii="宋体" w:hAnsi="宋体" w:eastAsia="宋体"/>
                <w:b w:val="0"/>
                <w:bCs w:val="0"/>
                <w:sz w:val="18"/>
                <w:szCs w:val="18"/>
                <w:lang w:val="en-US" w:eastAsia="zh-CN"/>
              </w:rPr>
              <w:t>/微信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5" w:hRule="atLeast"/>
          <w:jc w:val="center"/>
        </w:trPr>
        <w:tc>
          <w:tcPr>
            <w:tcW w:w="1070" w:type="dxa"/>
            <w:vMerge w:val="continue"/>
            <w:tcBorders>
              <w:left w:val="single" w:color="auto" w:sz="8" w:space="0"/>
            </w:tcBorders>
            <w:vAlign w:val="center"/>
          </w:tcPr>
          <w:p>
            <w:pPr>
              <w:snapToGrid w:val="0"/>
              <w:spacing w:line="240" w:lineRule="exact"/>
            </w:pPr>
          </w:p>
        </w:tc>
        <w:tc>
          <w:tcPr>
            <w:tcW w:w="1639" w:type="dxa"/>
            <w:vMerge w:val="continue"/>
            <w:vAlign w:val="center"/>
          </w:tcPr>
          <w:p>
            <w:pPr>
              <w:snapToGrid w:val="0"/>
              <w:spacing w:line="240" w:lineRule="exact"/>
              <w:jc w:val="center"/>
            </w:pPr>
          </w:p>
        </w:tc>
        <w:tc>
          <w:tcPr>
            <w:tcW w:w="992" w:type="dxa"/>
            <w:vMerge w:val="continue"/>
          </w:tcPr>
          <w:p>
            <w:pPr>
              <w:snapToGrid w:val="0"/>
              <w:spacing w:line="240" w:lineRule="exact"/>
            </w:pPr>
          </w:p>
        </w:tc>
        <w:tc>
          <w:tcPr>
            <w:tcW w:w="5670" w:type="dxa"/>
          </w:tcPr>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EMS</w:t>
            </w:r>
            <w:r>
              <w:rPr>
                <w:rFonts w:hint="eastAsia" w:ascii="宋体" w:hAnsi="宋体" w:cs="新宋体"/>
                <w:sz w:val="18"/>
                <w:szCs w:val="18"/>
                <w:highlight w:val="none"/>
                <w:lang w:val="en-US" w:eastAsia="zh-CN"/>
              </w:rPr>
              <w:t>：</w:t>
            </w:r>
          </w:p>
          <w:p>
            <w:pPr>
              <w:snapToGrid w:val="0"/>
              <w:spacing w:line="240" w:lineRule="exact"/>
              <w:rPr>
                <w:rFonts w:hint="eastAsia"/>
                <w:b w:val="0"/>
                <w:bCs w:val="0"/>
                <w:sz w:val="20"/>
                <w:lang w:val="de-DE"/>
              </w:rPr>
            </w:pPr>
            <w:r>
              <w:rPr>
                <w:rFonts w:hint="eastAsia" w:ascii="宋体" w:hAnsi="宋体" w:eastAsia="宋体" w:cs="新宋体"/>
                <w:sz w:val="18"/>
                <w:szCs w:val="18"/>
                <w:highlight w:val="none"/>
                <w:lang w:val="en-US" w:eastAsia="zh-CN"/>
              </w:rPr>
              <w:t>5.3组织的角色、职责和权限；6.1.2环境因素；6.1.3合规义务；6.2目标及其达成的策划；7.2能力；7.3意识；7.4沟通；7.5文件化信息；8.1运行策划和控制；8.2应急准备和响应；9.1监视、测量、分析与评估；9.1.2符合性评估；10.2不符合和纠正措施/EMS运行控制相关财务支出证据。</w:t>
            </w: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eastAsia="宋体" w:cs="新宋体"/>
                <w:sz w:val="18"/>
                <w:szCs w:val="18"/>
                <w:highlight w:val="none"/>
                <w:lang w:val="de-DE" w:eastAsia="zh-CN"/>
              </w:rPr>
              <w:t>OHSMS</w:t>
            </w:r>
            <w:r>
              <w:rPr>
                <w:rFonts w:hint="eastAsia" w:ascii="宋体" w:hAnsi="宋体" w:cs="新宋体"/>
                <w:sz w:val="18"/>
                <w:szCs w:val="18"/>
                <w:highlight w:val="none"/>
                <w:lang w:val="en-US" w:eastAsia="zh-CN"/>
              </w:rPr>
              <w:t>：</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5.3组织的角色、职责和权限；6.1.2危险源辨识和职业安全风险评价；</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6.1.3法律法规要求和其他要求；6.2目标及其实现的策划；7.2能力；7.3意识；7.4信息和沟通；7.5文件化信息；8.1运行策划和控制；8.2应急准备和响应；9.1监视、测量、分析和评价；9.1.2法律法规要求和其他要求的合规性评价；10.</w:t>
            </w:r>
            <w:r>
              <w:rPr>
                <w:rFonts w:hint="eastAsia" w:ascii="宋体" w:hAnsi="宋体" w:cs="新宋体"/>
                <w:sz w:val="18"/>
                <w:szCs w:val="18"/>
                <w:highlight w:val="none"/>
                <w:lang w:val="en-US" w:eastAsia="zh-CN"/>
              </w:rPr>
              <w:t>1</w:t>
            </w:r>
            <w:r>
              <w:rPr>
                <w:rFonts w:hint="eastAsia" w:ascii="宋体" w:hAnsi="宋体" w:eastAsia="宋体" w:cs="新宋体"/>
                <w:sz w:val="18"/>
                <w:szCs w:val="18"/>
                <w:highlight w:val="none"/>
                <w:lang w:val="en-US" w:eastAsia="zh-CN"/>
              </w:rPr>
              <w:t>事件、不符合和纠正措施/OHSMS运行控制财务支出证据。</w:t>
            </w:r>
          </w:p>
        </w:tc>
        <w:tc>
          <w:tcPr>
            <w:tcW w:w="1065" w:type="dxa"/>
            <w:tcBorders>
              <w:right w:val="single" w:color="auto" w:sz="8" w:space="0"/>
            </w:tcBorders>
          </w:tcPr>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宋明珠</w:t>
            </w:r>
            <w:r>
              <w:rPr>
                <w:rFonts w:hint="eastAsia" w:ascii="宋体" w:hAnsi="宋体" w:eastAsia="宋体"/>
                <w:b w:val="0"/>
                <w:bCs w:val="0"/>
                <w:sz w:val="18"/>
                <w:szCs w:val="18"/>
                <w:lang w:val="en-US" w:eastAsia="zh-CN"/>
              </w:rPr>
              <w:t>/微信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1070" w:type="dxa"/>
            <w:vMerge w:val="restart"/>
            <w:tcBorders>
              <w:left w:val="single" w:color="auto" w:sz="8" w:space="0"/>
            </w:tcBorders>
            <w:vAlign w:val="center"/>
          </w:tcPr>
          <w:p>
            <w:pPr>
              <w:snapToGrid w:val="0"/>
              <w:spacing w:line="240" w:lineRule="auto"/>
              <w:jc w:val="center"/>
              <w:rPr>
                <w:rFonts w:hint="eastAsia" w:ascii="宋体" w:hAnsi="宋体" w:eastAsia="宋体" w:cs="新宋体"/>
                <w:b w:val="0"/>
                <w:bCs w:val="0"/>
                <w:sz w:val="21"/>
                <w:szCs w:val="21"/>
                <w:lang w:val="en-US" w:eastAsia="zh-CN"/>
              </w:rPr>
            </w:pPr>
            <w:r>
              <w:rPr>
                <w:rFonts w:hint="eastAsia" w:ascii="宋体" w:hAnsi="宋体" w:eastAsia="宋体" w:cs="新宋体"/>
                <w:b w:val="0"/>
                <w:bCs w:val="0"/>
                <w:sz w:val="21"/>
                <w:szCs w:val="21"/>
                <w:lang w:val="en-US" w:eastAsia="zh-CN"/>
              </w:rPr>
              <w:t>8</w:t>
            </w:r>
          </w:p>
          <w:p>
            <w:pPr>
              <w:snapToGrid w:val="0"/>
              <w:spacing w:line="240" w:lineRule="auto"/>
              <w:jc w:val="center"/>
              <w:rPr>
                <w:rFonts w:hint="eastAsia" w:ascii="宋体" w:hAnsi="宋体" w:eastAsia="宋体" w:cs="新宋体"/>
                <w:b w:val="0"/>
                <w:bCs w:val="0"/>
                <w:sz w:val="21"/>
                <w:szCs w:val="21"/>
              </w:rPr>
            </w:pPr>
            <w:r>
              <w:rPr>
                <w:rFonts w:hint="eastAsia" w:ascii="宋体" w:hAnsi="宋体" w:eastAsia="宋体" w:cs="新宋体"/>
                <w:b w:val="0"/>
                <w:bCs w:val="0"/>
                <w:sz w:val="21"/>
                <w:szCs w:val="21"/>
              </w:rPr>
              <w:t>月</w:t>
            </w:r>
          </w:p>
          <w:p>
            <w:pPr>
              <w:snapToGrid w:val="0"/>
              <w:spacing w:line="240" w:lineRule="auto"/>
              <w:jc w:val="center"/>
              <w:rPr>
                <w:rFonts w:hint="default" w:ascii="宋体" w:hAnsi="宋体" w:eastAsia="宋体" w:cs="新宋体"/>
                <w:b w:val="0"/>
                <w:bCs w:val="0"/>
                <w:sz w:val="21"/>
                <w:szCs w:val="21"/>
                <w:lang w:val="en-US" w:eastAsia="zh-CN"/>
              </w:rPr>
            </w:pPr>
            <w:r>
              <w:rPr>
                <w:rFonts w:hint="eastAsia" w:ascii="宋体" w:hAnsi="宋体" w:eastAsia="宋体" w:cs="新宋体"/>
                <w:b w:val="0"/>
                <w:bCs w:val="0"/>
                <w:sz w:val="21"/>
                <w:szCs w:val="21"/>
                <w:lang w:val="en-US" w:eastAsia="zh-CN"/>
              </w:rPr>
              <w:t>10</w:t>
            </w:r>
          </w:p>
          <w:p>
            <w:pPr>
              <w:snapToGrid w:val="0"/>
              <w:spacing w:line="240" w:lineRule="auto"/>
              <w:jc w:val="center"/>
              <w:rPr>
                <w:rFonts w:hint="eastAsia" w:ascii="宋体" w:hAnsi="宋体" w:eastAsia="宋体" w:cs="新宋体"/>
                <w:b w:val="0"/>
                <w:bCs w:val="0"/>
                <w:sz w:val="21"/>
                <w:szCs w:val="21"/>
              </w:rPr>
            </w:pPr>
            <w:r>
              <w:rPr>
                <w:rFonts w:hint="eastAsia" w:ascii="宋体" w:hAnsi="宋体" w:eastAsia="宋体" w:cs="新宋体"/>
                <w:b w:val="0"/>
                <w:bCs w:val="0"/>
                <w:sz w:val="21"/>
                <w:szCs w:val="21"/>
              </w:rPr>
              <w:t>日</w:t>
            </w:r>
          </w:p>
          <w:p>
            <w:pPr>
              <w:snapToGrid w:val="0"/>
              <w:spacing w:line="320" w:lineRule="exact"/>
              <w:jc w:val="center"/>
              <w:rPr>
                <w:rFonts w:ascii="宋体" w:hAnsi="宋体"/>
                <w:b w:val="0"/>
                <w:bCs w:val="0"/>
                <w:sz w:val="21"/>
                <w:szCs w:val="21"/>
              </w:rPr>
            </w:pPr>
          </w:p>
        </w:tc>
        <w:tc>
          <w:tcPr>
            <w:tcW w:w="1639" w:type="dxa"/>
            <w:vMerge w:val="restart"/>
            <w:vAlign w:val="center"/>
          </w:tcPr>
          <w:p>
            <w:pPr>
              <w:snapToGrid w:val="0"/>
              <w:spacing w:line="320" w:lineRule="exact"/>
              <w:jc w:val="center"/>
              <w:rPr>
                <w:rFonts w:ascii="宋体" w:hAnsi="宋体"/>
                <w:b w:val="0"/>
                <w:bCs w:val="0"/>
                <w:sz w:val="21"/>
                <w:szCs w:val="21"/>
              </w:rPr>
            </w:pPr>
            <w:r>
              <w:rPr>
                <w:rFonts w:hint="eastAsia" w:ascii="宋体" w:hAnsi="宋体" w:eastAsia="宋体" w:cs="Times New Roman"/>
                <w:b w:val="0"/>
                <w:bCs w:val="0"/>
                <w:sz w:val="18"/>
                <w:lang w:val="en-US" w:eastAsia="zh-CN"/>
              </w:rPr>
              <w:t>8:30-12:00</w:t>
            </w:r>
          </w:p>
        </w:tc>
        <w:tc>
          <w:tcPr>
            <w:tcW w:w="992" w:type="dxa"/>
            <w:vMerge w:val="restart"/>
          </w:tcPr>
          <w:p>
            <w:pPr>
              <w:spacing w:line="240" w:lineRule="auto"/>
              <w:rPr>
                <w:rFonts w:hint="eastAsia" w:ascii="宋体" w:hAnsi="宋体" w:eastAsia="宋体" w:cs="Times New Roman"/>
                <w:b w:val="0"/>
                <w:bCs w:val="0"/>
                <w:sz w:val="18"/>
                <w:lang w:eastAsia="zh-CN"/>
              </w:rPr>
            </w:pPr>
            <w:r>
              <w:rPr>
                <w:rFonts w:hint="eastAsia" w:ascii="宋体" w:hAnsi="宋体" w:eastAsia="宋体" w:cs="Times New Roman"/>
                <w:b w:val="0"/>
                <w:bCs w:val="0"/>
                <w:sz w:val="18"/>
                <w:lang w:eastAsia="zh-CN"/>
              </w:rPr>
              <w:t>业务部</w:t>
            </w:r>
          </w:p>
        </w:tc>
        <w:tc>
          <w:tcPr>
            <w:tcW w:w="5670" w:type="dxa"/>
          </w:tcPr>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QMS</w:t>
            </w:r>
            <w:r>
              <w:rPr>
                <w:rFonts w:hint="eastAsia" w:ascii="宋体" w:hAnsi="宋体" w:cs="新宋体"/>
                <w:sz w:val="18"/>
                <w:szCs w:val="18"/>
                <w:highlight w:val="none"/>
                <w:lang w:val="en-US" w:eastAsia="zh-CN"/>
              </w:rPr>
              <w:t>：</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5.3组织的角色、职责和权限；6.2质量目标及其实现的策划；7.1.3基础设施；7.1.4过程运行环境；</w:t>
            </w:r>
            <w:r>
              <w:rPr>
                <w:rFonts w:hint="eastAsia" w:ascii="宋体" w:hAnsi="宋体" w:cs="新宋体"/>
                <w:b w:val="0"/>
                <w:bCs w:val="0"/>
                <w:sz w:val="18"/>
                <w:szCs w:val="18"/>
              </w:rPr>
              <w:t>7.1.5监视和测量资源</w:t>
            </w:r>
            <w:r>
              <w:rPr>
                <w:rFonts w:hint="eastAsia" w:ascii="宋体" w:hAnsi="宋体" w:cs="新宋体"/>
                <w:b w:val="0"/>
                <w:bCs w:val="0"/>
                <w:sz w:val="18"/>
                <w:szCs w:val="18"/>
                <w:lang w:eastAsia="zh-CN"/>
              </w:rPr>
              <w:t>；</w:t>
            </w:r>
            <w:r>
              <w:rPr>
                <w:rFonts w:hint="eastAsia" w:ascii="宋体" w:hAnsi="宋体" w:eastAsia="宋体" w:cs="新宋体"/>
                <w:sz w:val="18"/>
                <w:szCs w:val="18"/>
                <w:highlight w:val="none"/>
                <w:lang w:val="en-US" w:eastAsia="zh-CN"/>
              </w:rPr>
              <w:t>8.2产品和服务的要求；8.5.2标识和可追溯性；8.5.3顾客或外部供方的财产；8.5.4防护；8.5.5交付后的活动；8.5.6更改控制；9.1.2顾客满意</w:t>
            </w:r>
          </w:p>
        </w:tc>
        <w:tc>
          <w:tcPr>
            <w:tcW w:w="1065" w:type="dxa"/>
            <w:tcBorders>
              <w:right w:val="single" w:color="auto" w:sz="8" w:space="0"/>
            </w:tcBorders>
          </w:tcPr>
          <w:p>
            <w:pPr>
              <w:snapToGrid w:val="0"/>
              <w:spacing w:line="320" w:lineRule="exact"/>
              <w:rPr>
                <w:rFonts w:hint="default" w:ascii="宋体" w:hAnsi="宋体"/>
                <w:b w:val="0"/>
                <w:bCs w:val="0"/>
                <w:sz w:val="18"/>
                <w:szCs w:val="18"/>
                <w:lang w:val="en-US" w:eastAsia="zh-CN"/>
              </w:rPr>
            </w:pPr>
            <w:r>
              <w:rPr>
                <w:rFonts w:hint="eastAsia" w:ascii="宋体" w:hAnsi="宋体"/>
                <w:b w:val="0"/>
                <w:bCs w:val="0"/>
                <w:sz w:val="18"/>
                <w:szCs w:val="18"/>
                <w:lang w:val="en-US" w:eastAsia="zh-CN"/>
              </w:rPr>
              <w:t>陈伟</w:t>
            </w:r>
            <w:r>
              <w:rPr>
                <w:rFonts w:hint="eastAsia" w:ascii="宋体" w:hAnsi="宋体" w:eastAsia="宋体"/>
                <w:b w:val="0"/>
                <w:bCs w:val="0"/>
                <w:sz w:val="18"/>
                <w:szCs w:val="18"/>
                <w:lang w:val="en-US" w:eastAsia="zh-CN"/>
              </w:rPr>
              <w:t>/微信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1070" w:type="dxa"/>
            <w:vMerge w:val="continue"/>
            <w:tcBorders>
              <w:left w:val="single" w:color="auto" w:sz="8" w:space="0"/>
            </w:tcBorders>
            <w:vAlign w:val="center"/>
          </w:tcPr>
          <w:p>
            <w:pPr>
              <w:snapToGrid w:val="0"/>
              <w:spacing w:line="240" w:lineRule="exact"/>
            </w:pPr>
          </w:p>
        </w:tc>
        <w:tc>
          <w:tcPr>
            <w:tcW w:w="1639" w:type="dxa"/>
            <w:vMerge w:val="continue"/>
            <w:vAlign w:val="center"/>
          </w:tcPr>
          <w:p>
            <w:pPr>
              <w:snapToGrid w:val="0"/>
              <w:spacing w:line="280" w:lineRule="exact"/>
              <w:jc w:val="center"/>
            </w:pPr>
          </w:p>
        </w:tc>
        <w:tc>
          <w:tcPr>
            <w:tcW w:w="992" w:type="dxa"/>
            <w:vMerge w:val="continue"/>
          </w:tcPr>
          <w:p>
            <w:pPr>
              <w:snapToGrid w:val="0"/>
              <w:spacing w:line="240" w:lineRule="exact"/>
            </w:pPr>
          </w:p>
        </w:tc>
        <w:tc>
          <w:tcPr>
            <w:tcW w:w="5670" w:type="dxa"/>
          </w:tcPr>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QMS</w:t>
            </w:r>
            <w:r>
              <w:rPr>
                <w:rFonts w:hint="eastAsia" w:ascii="宋体" w:hAnsi="宋体" w:cs="新宋体"/>
                <w:sz w:val="18"/>
                <w:szCs w:val="18"/>
                <w:highlight w:val="none"/>
                <w:lang w:val="en-US" w:eastAsia="zh-CN"/>
              </w:rPr>
              <w:t>：</w:t>
            </w:r>
          </w:p>
          <w:p>
            <w:pPr>
              <w:snapToGrid w:val="0"/>
              <w:spacing w:line="240" w:lineRule="exact"/>
              <w:rPr>
                <w:rFonts w:hint="eastAsia" w:ascii="宋体" w:hAnsi="宋体" w:eastAsia="宋体" w:cs="新宋体"/>
                <w:b w:val="0"/>
                <w:bCs w:val="0"/>
                <w:sz w:val="18"/>
                <w:szCs w:val="18"/>
                <w:lang w:eastAsia="zh-CN"/>
              </w:rPr>
            </w:pPr>
            <w:r>
              <w:rPr>
                <w:rFonts w:hint="eastAsia" w:ascii="宋体" w:hAnsi="宋体" w:cs="新宋体"/>
                <w:b w:val="0"/>
                <w:bCs w:val="0"/>
                <w:sz w:val="18"/>
                <w:szCs w:val="18"/>
              </w:rPr>
              <w:t>8.1运行策划和控制</w:t>
            </w:r>
            <w:r>
              <w:rPr>
                <w:rFonts w:hint="eastAsia" w:ascii="宋体" w:hAnsi="宋体" w:eastAsia="宋体" w:cs="新宋体"/>
                <w:sz w:val="18"/>
                <w:szCs w:val="18"/>
                <w:highlight w:val="none"/>
                <w:lang w:val="en-US" w:eastAsia="zh-CN"/>
              </w:rPr>
              <w:t>；</w:t>
            </w:r>
            <w:r>
              <w:rPr>
                <w:rFonts w:hint="eastAsia" w:ascii="宋体" w:hAnsi="宋体" w:cs="新宋体"/>
                <w:b w:val="0"/>
                <w:bCs w:val="0"/>
                <w:sz w:val="18"/>
                <w:szCs w:val="18"/>
              </w:rPr>
              <w:t>8.3设计开发控制；8.5.1生产和服务提供的控制</w:t>
            </w:r>
            <w:r>
              <w:rPr>
                <w:rFonts w:hint="eastAsia" w:ascii="宋体" w:hAnsi="宋体" w:cs="新宋体"/>
                <w:b w:val="0"/>
                <w:bCs w:val="0"/>
                <w:sz w:val="18"/>
                <w:szCs w:val="18"/>
                <w:lang w:eastAsia="zh-CN"/>
              </w:rPr>
              <w:t>；</w:t>
            </w:r>
            <w:r>
              <w:rPr>
                <w:rFonts w:hint="eastAsia" w:ascii="宋体" w:hAnsi="宋体" w:cs="新宋体"/>
                <w:b w:val="0"/>
                <w:bCs w:val="0"/>
                <w:sz w:val="18"/>
                <w:szCs w:val="18"/>
              </w:rPr>
              <w:t>8.6产品和服务放行；8.7不合格输出的控制</w:t>
            </w:r>
          </w:p>
          <w:p>
            <w:pPr>
              <w:snapToGrid w:val="0"/>
              <w:spacing w:line="240" w:lineRule="exact"/>
              <w:rPr>
                <w:rFonts w:hint="eastAsia" w:ascii="宋体" w:hAnsi="宋体" w:eastAsia="宋体" w:cs="新宋体"/>
                <w:b w:val="0"/>
                <w:bCs w:val="0"/>
                <w:sz w:val="18"/>
                <w:szCs w:val="18"/>
                <w:lang w:eastAsia="zh-CN"/>
              </w:rPr>
            </w:pPr>
            <w:r>
              <w:rPr>
                <w:rFonts w:hint="eastAsia" w:ascii="宋体" w:hAnsi="宋体" w:eastAsia="宋体" w:cs="新宋体"/>
                <w:b w:val="0"/>
                <w:bCs w:val="0"/>
                <w:sz w:val="18"/>
                <w:szCs w:val="18"/>
                <w:lang w:eastAsia="zh-CN"/>
              </w:rPr>
              <w:t>EMS</w:t>
            </w:r>
            <w:r>
              <w:rPr>
                <w:rFonts w:hint="eastAsia" w:ascii="宋体" w:hAnsi="宋体" w:cs="新宋体"/>
                <w:sz w:val="18"/>
                <w:szCs w:val="18"/>
                <w:highlight w:val="none"/>
                <w:lang w:val="en-US" w:eastAsia="zh-CN"/>
              </w:rPr>
              <w:t>：</w:t>
            </w:r>
          </w:p>
          <w:p>
            <w:pPr>
              <w:snapToGrid w:val="0"/>
              <w:spacing w:line="240" w:lineRule="exact"/>
              <w:rPr>
                <w:rFonts w:hint="eastAsia" w:ascii="宋体" w:hAnsi="宋体" w:eastAsia="宋体" w:cs="新宋体"/>
                <w:b w:val="0"/>
                <w:bCs w:val="0"/>
                <w:sz w:val="18"/>
                <w:szCs w:val="18"/>
              </w:rPr>
            </w:pPr>
            <w:r>
              <w:rPr>
                <w:rFonts w:hint="eastAsia" w:ascii="宋体" w:hAnsi="宋体" w:eastAsia="宋体" w:cs="新宋体"/>
                <w:b w:val="0"/>
                <w:bCs w:val="0"/>
                <w:sz w:val="18"/>
                <w:szCs w:val="18"/>
              </w:rPr>
              <w:t>5.3组织的角色、职责和权限；</w:t>
            </w:r>
            <w:r>
              <w:rPr>
                <w:rFonts w:hint="eastAsia" w:ascii="宋体" w:hAnsi="宋体" w:eastAsia="宋体" w:cs="新宋体"/>
                <w:sz w:val="18"/>
                <w:szCs w:val="18"/>
                <w:highlight w:val="none"/>
                <w:lang w:val="en-US" w:eastAsia="zh-CN"/>
              </w:rPr>
              <w:t>6.1.2环境因素；</w:t>
            </w:r>
            <w:r>
              <w:rPr>
                <w:rFonts w:hint="eastAsia" w:ascii="宋体" w:hAnsi="宋体" w:eastAsia="宋体" w:cs="新宋体"/>
                <w:b w:val="0"/>
                <w:bCs w:val="0"/>
                <w:sz w:val="18"/>
                <w:szCs w:val="18"/>
              </w:rPr>
              <w:t>6.2目标及其达成的策划</w:t>
            </w:r>
            <w:r>
              <w:rPr>
                <w:rFonts w:hint="eastAsia" w:ascii="宋体" w:hAnsi="宋体" w:eastAsia="宋体" w:cs="新宋体"/>
                <w:sz w:val="18"/>
                <w:szCs w:val="18"/>
                <w:highlight w:val="none"/>
                <w:lang w:val="en-US" w:eastAsia="zh-CN"/>
              </w:rPr>
              <w:t>；7.4沟通；8.1运行策划和控制；8.2应急准备和响应</w:t>
            </w:r>
          </w:p>
          <w:p>
            <w:pPr>
              <w:snapToGrid w:val="0"/>
              <w:spacing w:line="240" w:lineRule="exact"/>
              <w:rPr>
                <w:rFonts w:hint="default" w:ascii="宋体" w:hAnsi="宋体" w:eastAsia="宋体" w:cs="新宋体"/>
                <w:sz w:val="18"/>
                <w:szCs w:val="18"/>
                <w:highlight w:val="none"/>
                <w:lang w:val="en-US" w:eastAsia="zh-CN"/>
              </w:rPr>
            </w:pPr>
            <w:r>
              <w:rPr>
                <w:rFonts w:hint="eastAsia" w:ascii="宋体" w:hAnsi="宋体" w:eastAsia="宋体" w:cs="新宋体"/>
                <w:sz w:val="18"/>
                <w:szCs w:val="18"/>
                <w:highlight w:val="none"/>
                <w:lang w:val="de-DE" w:eastAsia="zh-CN"/>
              </w:rPr>
              <w:t>OHSMS</w:t>
            </w:r>
            <w:r>
              <w:rPr>
                <w:rFonts w:hint="eastAsia" w:ascii="宋体" w:hAnsi="宋体" w:cs="新宋体"/>
                <w:sz w:val="18"/>
                <w:szCs w:val="18"/>
                <w:highlight w:val="none"/>
                <w:lang w:val="en-US" w:eastAsia="zh-CN"/>
              </w:rPr>
              <w:t>：</w:t>
            </w:r>
          </w:p>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5.3组织的角色、职责和权限；6.1.2危险源辨识和职业安全风险评价；6.2目标及其实现的策划；7.4信息和沟通；8.1运行策划和控制；8.2应急准备和响应</w:t>
            </w:r>
          </w:p>
        </w:tc>
        <w:tc>
          <w:tcPr>
            <w:tcW w:w="1065" w:type="dxa"/>
            <w:tcBorders>
              <w:right w:val="single" w:color="auto" w:sz="8" w:space="0"/>
            </w:tcBorders>
          </w:tcPr>
          <w:p>
            <w:pPr>
              <w:snapToGrid w:val="0"/>
              <w:spacing w:line="240" w:lineRule="exact"/>
              <w:rPr>
                <w:rFonts w:hint="eastAsia" w:ascii="宋体" w:hAnsi="宋体" w:eastAsia="宋体" w:cs="新宋体"/>
                <w:sz w:val="18"/>
                <w:szCs w:val="18"/>
                <w:highlight w:val="none"/>
                <w:lang w:val="en-US" w:eastAsia="zh-CN"/>
              </w:rPr>
            </w:pPr>
            <w:r>
              <w:rPr>
                <w:rFonts w:hint="eastAsia" w:ascii="宋体" w:hAnsi="宋体" w:eastAsia="宋体" w:cs="新宋体"/>
                <w:sz w:val="18"/>
                <w:szCs w:val="18"/>
                <w:highlight w:val="none"/>
                <w:lang w:val="en-US" w:eastAsia="zh-CN"/>
              </w:rPr>
              <w:t>宋明珠</w:t>
            </w:r>
            <w:r>
              <w:rPr>
                <w:rFonts w:hint="eastAsia" w:ascii="宋体" w:hAnsi="宋体" w:eastAsia="宋体"/>
                <w:b w:val="0"/>
                <w:bCs w:val="0"/>
                <w:sz w:val="18"/>
                <w:szCs w:val="18"/>
                <w:lang w:val="en-US" w:eastAsia="zh-CN"/>
              </w:rPr>
              <w:t>/微信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070" w:type="dxa"/>
            <w:vMerge w:val="continue"/>
            <w:tcBorders>
              <w:left w:val="single" w:color="auto" w:sz="8" w:space="0"/>
            </w:tcBorders>
            <w:vAlign w:val="center"/>
          </w:tcPr>
          <w:p>
            <w:pPr>
              <w:snapToGrid w:val="0"/>
              <w:spacing w:line="280" w:lineRule="exact"/>
              <w:jc w:val="center"/>
              <w:rPr>
                <w:rFonts w:ascii="宋体" w:hAnsi="宋体"/>
                <w:b w:val="0"/>
                <w:bCs w:val="0"/>
                <w:sz w:val="21"/>
                <w:szCs w:val="21"/>
              </w:rPr>
            </w:pPr>
          </w:p>
        </w:tc>
        <w:tc>
          <w:tcPr>
            <w:tcW w:w="1639" w:type="dxa"/>
            <w:vAlign w:val="center"/>
          </w:tcPr>
          <w:p>
            <w:pPr>
              <w:snapToGrid w:val="0"/>
              <w:spacing w:line="320" w:lineRule="exact"/>
              <w:jc w:val="center"/>
              <w:rPr>
                <w:rFonts w:ascii="宋体" w:hAnsi="宋体"/>
                <w:b w:val="0"/>
                <w:bCs w:val="0"/>
                <w:sz w:val="21"/>
                <w:szCs w:val="21"/>
              </w:rPr>
            </w:pPr>
            <w:r>
              <w:rPr>
                <w:rFonts w:hint="eastAsia" w:ascii="宋体" w:hAnsi="宋体" w:eastAsia="宋体" w:cs="新宋体"/>
                <w:b w:val="0"/>
                <w:bCs w:val="0"/>
                <w:sz w:val="18"/>
                <w:szCs w:val="18"/>
                <w:lang w:val="en-US" w:eastAsia="zh-CN"/>
              </w:rPr>
              <w:t>12:</w:t>
            </w:r>
            <w:r>
              <w:rPr>
                <w:rFonts w:hint="eastAsia" w:ascii="宋体" w:hAnsi="宋体" w:cs="新宋体"/>
                <w:b w:val="0"/>
                <w:bCs w:val="0"/>
                <w:sz w:val="18"/>
                <w:szCs w:val="18"/>
                <w:lang w:val="en-US" w:eastAsia="zh-CN"/>
              </w:rPr>
              <w:t>0</w:t>
            </w:r>
            <w:r>
              <w:rPr>
                <w:rFonts w:hint="eastAsia" w:ascii="宋体" w:hAnsi="宋体" w:eastAsia="宋体" w:cs="新宋体"/>
                <w:b w:val="0"/>
                <w:bCs w:val="0"/>
                <w:sz w:val="18"/>
                <w:szCs w:val="18"/>
                <w:lang w:val="en-US" w:eastAsia="zh-CN"/>
              </w:rPr>
              <w:t>0-1</w:t>
            </w:r>
            <w:r>
              <w:rPr>
                <w:rFonts w:hint="eastAsia" w:ascii="宋体" w:hAnsi="宋体" w:cs="新宋体"/>
                <w:b w:val="0"/>
                <w:bCs w:val="0"/>
                <w:sz w:val="18"/>
                <w:szCs w:val="18"/>
                <w:lang w:val="en-US" w:eastAsia="zh-CN"/>
              </w:rPr>
              <w:t>2</w:t>
            </w:r>
            <w:r>
              <w:rPr>
                <w:rFonts w:hint="eastAsia" w:ascii="宋体" w:hAnsi="宋体" w:eastAsia="宋体" w:cs="新宋体"/>
                <w:b w:val="0"/>
                <w:bCs w:val="0"/>
                <w:sz w:val="18"/>
                <w:szCs w:val="18"/>
                <w:lang w:val="en-US" w:eastAsia="zh-CN"/>
              </w:rPr>
              <w:t>:</w:t>
            </w:r>
            <w:r>
              <w:rPr>
                <w:rFonts w:hint="eastAsia" w:ascii="宋体" w:hAnsi="宋体" w:cs="新宋体"/>
                <w:b w:val="0"/>
                <w:bCs w:val="0"/>
                <w:sz w:val="18"/>
                <w:szCs w:val="18"/>
                <w:lang w:val="en-US" w:eastAsia="zh-CN"/>
              </w:rPr>
              <w:t>3</w:t>
            </w:r>
            <w:r>
              <w:rPr>
                <w:rFonts w:hint="eastAsia" w:ascii="宋体" w:hAnsi="宋体" w:eastAsia="宋体" w:cs="新宋体"/>
                <w:b w:val="0"/>
                <w:bCs w:val="0"/>
                <w:sz w:val="18"/>
                <w:szCs w:val="18"/>
                <w:lang w:val="en-US" w:eastAsia="zh-CN"/>
              </w:rPr>
              <w:t>0</w:t>
            </w:r>
          </w:p>
        </w:tc>
        <w:tc>
          <w:tcPr>
            <w:tcW w:w="6662" w:type="dxa"/>
            <w:gridSpan w:val="2"/>
            <w:vAlign w:val="center"/>
          </w:tcPr>
          <w:p>
            <w:pPr>
              <w:spacing w:line="300" w:lineRule="exact"/>
              <w:rPr>
                <w:rFonts w:hint="eastAsia" w:ascii="宋体" w:hAnsi="宋体" w:eastAsia="宋体" w:cs="Times New Roman"/>
                <w:b w:val="0"/>
                <w:bCs w:val="0"/>
                <w:sz w:val="18"/>
                <w:lang w:eastAsia="zh-CN"/>
              </w:rPr>
            </w:pPr>
            <w:r>
              <w:rPr>
                <w:rFonts w:hint="eastAsia" w:ascii="宋体" w:hAnsi="宋体" w:eastAsia="宋体" w:cs="Times New Roman"/>
                <w:b w:val="0"/>
                <w:bCs w:val="0"/>
                <w:sz w:val="18"/>
                <w:lang w:eastAsia="zh-CN"/>
              </w:rPr>
              <w:t>审核组内部沟通,并与受审核方沟通，末次会议</w:t>
            </w:r>
          </w:p>
        </w:tc>
        <w:tc>
          <w:tcPr>
            <w:tcW w:w="1065" w:type="dxa"/>
            <w:tcBorders>
              <w:right w:val="single" w:color="auto" w:sz="8" w:space="0"/>
            </w:tcBorders>
          </w:tcPr>
          <w:p>
            <w:pPr>
              <w:spacing w:line="300" w:lineRule="exact"/>
              <w:rPr>
                <w:rFonts w:hint="eastAsia" w:ascii="宋体" w:hAnsi="宋体" w:eastAsia="宋体" w:cs="Times New Roman"/>
                <w:b w:val="0"/>
                <w:bCs w:val="0"/>
                <w:sz w:val="18"/>
                <w:lang w:eastAsia="zh-CN"/>
              </w:rPr>
            </w:pPr>
            <w:r>
              <w:rPr>
                <w:rFonts w:hint="eastAsia" w:ascii="宋体" w:hAnsi="宋体" w:eastAsia="宋体" w:cs="Times New Roman"/>
                <w:b w:val="0"/>
                <w:bCs w:val="0"/>
                <w:sz w:val="18"/>
                <w:lang w:eastAsia="zh-CN"/>
              </w:rPr>
              <w:t>审核组</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0288"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NDE1OTA0NjMzMTc3MjRkMDFmMDVlMjFhNzg3YjQifQ=="/>
  </w:docVars>
  <w:rsids>
    <w:rsidRoot w:val="00000000"/>
    <w:rsid w:val="00EB1C84"/>
    <w:rsid w:val="025B0D98"/>
    <w:rsid w:val="08B576D2"/>
    <w:rsid w:val="09A2259A"/>
    <w:rsid w:val="0BCD419B"/>
    <w:rsid w:val="0CAE02B5"/>
    <w:rsid w:val="0D3D6430"/>
    <w:rsid w:val="0F6F7F34"/>
    <w:rsid w:val="0F707076"/>
    <w:rsid w:val="19675AC5"/>
    <w:rsid w:val="1B015740"/>
    <w:rsid w:val="1F642EE8"/>
    <w:rsid w:val="1FCD21B7"/>
    <w:rsid w:val="20745325"/>
    <w:rsid w:val="217D645B"/>
    <w:rsid w:val="23215EA5"/>
    <w:rsid w:val="24FC3F2A"/>
    <w:rsid w:val="251A3BA0"/>
    <w:rsid w:val="259C34F4"/>
    <w:rsid w:val="276141F9"/>
    <w:rsid w:val="29321AAD"/>
    <w:rsid w:val="29FF4084"/>
    <w:rsid w:val="2A18141A"/>
    <w:rsid w:val="31DB16FB"/>
    <w:rsid w:val="35EC42C5"/>
    <w:rsid w:val="382A72A4"/>
    <w:rsid w:val="3A105B01"/>
    <w:rsid w:val="3BCE6655"/>
    <w:rsid w:val="3D5A57F0"/>
    <w:rsid w:val="41CE1D11"/>
    <w:rsid w:val="43CE019E"/>
    <w:rsid w:val="513916E5"/>
    <w:rsid w:val="519E4049"/>
    <w:rsid w:val="525564B4"/>
    <w:rsid w:val="52C47BAC"/>
    <w:rsid w:val="55017C93"/>
    <w:rsid w:val="551322A2"/>
    <w:rsid w:val="59B21FAE"/>
    <w:rsid w:val="5C9122C7"/>
    <w:rsid w:val="61F477FE"/>
    <w:rsid w:val="688E5648"/>
    <w:rsid w:val="68EA6DAA"/>
    <w:rsid w:val="6B1538BA"/>
    <w:rsid w:val="6B4F073B"/>
    <w:rsid w:val="6B76049D"/>
    <w:rsid w:val="70DE2B48"/>
    <w:rsid w:val="73142CFA"/>
    <w:rsid w:val="7BED1F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0</TotalTime>
  <ScaleCrop>false</ScaleCrop>
  <LinksUpToDate>false</LinksUpToDate>
  <CharactersWithSpaces>5345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way一直都在</cp:lastModifiedBy>
  <dcterms:modified xsi:type="dcterms:W3CDTF">2022-08-08T12:31:43Z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2052-11.1.0.12302</vt:lpwstr>
  </property>
</Properties>
</file>