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0913-2022-QEO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bookmarkStart w:id="1" w:name="组织名称"/>
      <w:r>
        <w:rPr>
          <w:sz w:val="28"/>
          <w:szCs w:val="28"/>
        </w:rPr>
        <w:t>河北北宸电气科技有限公司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河北北宸电气科技有限公司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石家庄高新区长江大道319号石家庄国际人才城4单元302室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石家庄高新区长江大道319号石家庄国际人才城4单元302室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李卿</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13102832475</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付晓玲</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李卿</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023"/>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2022年08月11日 上午至2022年08月12日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9"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0" w:name="注册地址"/>
            <w:r>
              <w:rPr>
                <w:rFonts w:asciiTheme="minorEastAsia" w:hAnsiTheme="minorEastAsia" w:eastAsiaTheme="minorEastAsia"/>
                <w:sz w:val="20"/>
              </w:rPr>
              <w:t>石家庄高新区长江大道319号石家庄国际人才城4单元302室</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6765" w:type="dxa"/>
            <w:gridSpan w:val="3"/>
            <w:vMerge w:val="restart"/>
            <w:vAlign w:val="center"/>
          </w:tcPr>
          <w:p>
            <w:pPr>
              <w:rPr>
                <w:sz w:val="20"/>
              </w:rPr>
            </w:pPr>
            <w:bookmarkStart w:id="21" w:name="审核范围"/>
            <w:r>
              <w:rPr>
                <w:sz w:val="20"/>
              </w:rPr>
              <w:t>Q：高频直流电源屏、高频开关电源的销售</w:t>
            </w:r>
          </w:p>
          <w:p>
            <w:pPr>
              <w:rPr>
                <w:sz w:val="20"/>
              </w:rPr>
            </w:pPr>
            <w:r>
              <w:rPr>
                <w:sz w:val="20"/>
              </w:rPr>
              <w:t>E：高频直流电源屏、高频开关电源的销售所涉及场所的相关环境管理活动</w:t>
            </w:r>
          </w:p>
          <w:p>
            <w:r>
              <w:rPr>
                <w:sz w:val="20"/>
              </w:rPr>
              <w:t>O：高频直流电源屏、高频开关电源的销售所涉及场所的相关职业健康安全管理活动</w:t>
            </w:r>
            <w:bookmarkEnd w:id="21"/>
          </w:p>
        </w:tc>
        <w:tc>
          <w:tcPr>
            <w:tcW w:w="207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23" w:type="dxa"/>
            <w:vMerge w:val="continue"/>
            <w:vAlign w:val="center"/>
          </w:tcPr>
          <w:p/>
        </w:tc>
        <w:tc>
          <w:tcPr>
            <w:tcW w:w="6765" w:type="dxa"/>
            <w:gridSpan w:val="3"/>
            <w:vMerge w:val="continue"/>
            <w:vAlign w:val="center"/>
          </w:tcPr>
          <w:p/>
        </w:tc>
        <w:tc>
          <w:tcPr>
            <w:tcW w:w="2075" w:type="dxa"/>
            <w:vAlign w:val="center"/>
          </w:tcPr>
          <w:p>
            <w:pPr>
              <w:jc w:val="left"/>
              <w:rPr>
                <w:rFonts w:hint="eastAsia" w:eastAsia="宋体"/>
                <w:sz w:val="20"/>
                <w:lang w:eastAsia="zh-CN"/>
              </w:rPr>
            </w:pPr>
            <w:bookmarkStart w:id="22" w:name="专业代码"/>
            <w:r>
              <w:rPr>
                <w:sz w:val="20"/>
              </w:rPr>
              <w:t>Q：</w:t>
            </w:r>
            <w:r>
              <w:rPr>
                <w:rFonts w:hint="eastAsia"/>
                <w:sz w:val="20"/>
                <w:lang w:eastAsia="zh-CN"/>
              </w:rPr>
              <w:t>29.09.02,29.10.07</w:t>
            </w:r>
          </w:p>
          <w:p>
            <w:pPr>
              <w:jc w:val="left"/>
              <w:rPr>
                <w:rFonts w:hint="eastAsia" w:eastAsia="宋体"/>
                <w:sz w:val="20"/>
                <w:lang w:eastAsia="zh-CN"/>
              </w:rPr>
            </w:pPr>
            <w:r>
              <w:rPr>
                <w:sz w:val="20"/>
              </w:rPr>
              <w:t>E：</w:t>
            </w:r>
            <w:r>
              <w:rPr>
                <w:rFonts w:hint="eastAsia"/>
                <w:sz w:val="20"/>
                <w:lang w:eastAsia="zh-CN"/>
              </w:rPr>
              <w:t>29.09.02,29.10.07</w:t>
            </w:r>
          </w:p>
          <w:p>
            <w:pPr>
              <w:rPr>
                <w:rFonts w:hint="eastAsia" w:eastAsia="宋体"/>
                <w:lang w:eastAsia="zh-CN"/>
              </w:rPr>
            </w:pPr>
            <w:r>
              <w:rPr>
                <w:sz w:val="20"/>
              </w:rPr>
              <w:t>O：</w:t>
            </w:r>
            <w:bookmarkEnd w:id="22"/>
            <w:r>
              <w:rPr>
                <w:rFonts w:hint="eastAsia"/>
                <w:sz w:val="20"/>
                <w:lang w:eastAsia="zh-CN"/>
              </w:rPr>
              <w:t>29.09.02,29.10.07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3023" w:type="dxa"/>
            <w:vAlign w:val="center"/>
          </w:tcPr>
          <w:p>
            <w:r>
              <w:rPr>
                <w:rFonts w:hint="eastAsia"/>
              </w:rPr>
              <w:t>管理体系运行已超过3个月</w:t>
            </w:r>
          </w:p>
        </w:tc>
        <w:tc>
          <w:tcPr>
            <w:tcW w:w="207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023" w:type="dxa"/>
            <w:vAlign w:val="center"/>
          </w:tcPr>
          <w:p>
            <w:r>
              <w:rPr>
                <w:rFonts w:hint="eastAsia"/>
              </w:rPr>
              <w:t>认证证书有效期</w:t>
            </w:r>
          </w:p>
        </w:tc>
        <w:tc>
          <w:tcPr>
            <w:tcW w:w="207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08"/>
        <w:gridCol w:w="1809"/>
        <w:gridCol w:w="572"/>
        <w:gridCol w:w="1927"/>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50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927"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508" w:type="dxa"/>
          </w:tcPr>
          <w:p>
            <w:pPr>
              <w:spacing w:before="40" w:after="40"/>
              <w:rPr>
                <w:rFonts w:eastAsia="黑体"/>
                <w:szCs w:val="21"/>
                <w:lang w:val="de-DE" w:eastAsia="ja-JP"/>
              </w:rPr>
            </w:pPr>
            <w:r>
              <w:rPr>
                <w:rFonts w:hint="eastAsia" w:eastAsia="黑体"/>
                <w:szCs w:val="21"/>
                <w:lang w:val="de-DE" w:eastAsia="ja-JP"/>
              </w:rPr>
              <w:t>河北北宸电气科技有限公司</w:t>
            </w:r>
            <w:r>
              <w:rPr>
                <w:rFonts w:hint="eastAsia" w:eastAsia="黑体"/>
                <w:szCs w:val="21"/>
                <w:lang w:val="en-US" w:eastAsia="zh-CN"/>
              </w:rPr>
              <w:t>/</w:t>
            </w:r>
            <w:r>
              <w:rPr>
                <w:rFonts w:hint="eastAsia" w:eastAsia="黑体"/>
                <w:szCs w:val="21"/>
                <w:lang w:val="de-DE" w:eastAsia="ja-JP"/>
              </w:rPr>
              <w:t>石家庄高新区长江大道319号石家庄国际人才城4单元302室</w:t>
            </w:r>
          </w:p>
        </w:tc>
        <w:tc>
          <w:tcPr>
            <w:tcW w:w="1809" w:type="dxa"/>
          </w:tcPr>
          <w:p>
            <w:pPr>
              <w:spacing w:before="40" w:after="40"/>
              <w:rPr>
                <w:rFonts w:eastAsia="黑体"/>
                <w:szCs w:val="21"/>
                <w:lang w:val="de-DE" w:eastAsia="ja-JP"/>
              </w:rPr>
            </w:pPr>
            <w:r>
              <w:rPr>
                <w:rFonts w:hint="eastAsia" w:eastAsia="黑体"/>
                <w:szCs w:val="21"/>
                <w:lang w:val="de-DE" w:eastAsia="ja-JP"/>
              </w:rPr>
              <w:t>石家庄高新区长江大道319号石家庄国际人才城4单元302室</w:t>
            </w:r>
          </w:p>
        </w:tc>
        <w:tc>
          <w:tcPr>
            <w:tcW w:w="572" w:type="dxa"/>
            <w:vAlign w:val="center"/>
          </w:tcPr>
          <w:p>
            <w:pPr>
              <w:spacing w:before="40" w:after="40"/>
              <w:rPr>
                <w:rFonts w:hint="default" w:eastAsia="黑体"/>
                <w:szCs w:val="21"/>
                <w:lang w:val="en-US" w:eastAsia="zh-CN"/>
              </w:rPr>
            </w:pPr>
            <w:r>
              <w:rPr>
                <w:rFonts w:hint="eastAsia" w:eastAsia="黑体"/>
                <w:szCs w:val="21"/>
                <w:lang w:val="en-US" w:eastAsia="zh-CN"/>
              </w:rPr>
              <w:t>5</w:t>
            </w:r>
          </w:p>
        </w:tc>
        <w:tc>
          <w:tcPr>
            <w:tcW w:w="1927" w:type="dxa"/>
            <w:vAlign w:val="center"/>
          </w:tcPr>
          <w:p>
            <w:pPr>
              <w:pStyle w:val="21"/>
              <w:rPr>
                <w:rFonts w:eastAsia="黑体" w:cs="Arial"/>
                <w:sz w:val="21"/>
                <w:szCs w:val="21"/>
                <w:lang w:val="en-US" w:eastAsia="ja-JP"/>
              </w:rPr>
            </w:pPr>
            <w:r>
              <w:t>高频直流电源屏</w:t>
            </w:r>
            <w:r>
              <w:rPr>
                <w:rFonts w:hint="eastAsia"/>
              </w:rPr>
              <w:t>、高频开关电源</w:t>
            </w:r>
            <w:r>
              <w:t>的销售</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48" w:type="dxa"/>
            <w:vAlign w:val="center"/>
          </w:tcPr>
          <w:p>
            <w:r>
              <w:rPr>
                <w:rFonts w:hint="eastAsia"/>
              </w:rPr>
              <w:t>姓名</w:t>
            </w:r>
          </w:p>
        </w:tc>
        <w:tc>
          <w:tcPr>
            <w:tcW w:w="12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8" w:type="dxa"/>
            <w:vAlign w:val="center"/>
          </w:tcPr>
          <w:p>
            <w:pPr>
              <w:rPr>
                <w:rFonts w:ascii="Times New Roman" w:hAnsi="Times New Roman" w:eastAsia="宋体" w:cs="Times New Roman"/>
                <w:kern w:val="2"/>
                <w:sz w:val="21"/>
                <w:szCs w:val="24"/>
                <w:lang w:val="en-US" w:eastAsia="zh-CN" w:bidi="ar-SA"/>
              </w:rPr>
            </w:pPr>
            <w:r>
              <w:t>吉洁</w:t>
            </w:r>
          </w:p>
        </w:tc>
        <w:tc>
          <w:tcPr>
            <w:tcW w:w="12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pPr>
              <w:rPr>
                <w:rFonts w:hint="eastAsia" w:eastAsia="宋体"/>
                <w:lang w:eastAsia="zh-CN"/>
              </w:rPr>
            </w:pPr>
            <w:r>
              <w:t>Q:</w:t>
            </w:r>
            <w:r>
              <w:rPr>
                <w:rFonts w:hint="eastAsia"/>
                <w:lang w:eastAsia="zh-CN"/>
              </w:rPr>
              <w:t>29.09.02,29.10.07</w:t>
            </w:r>
          </w:p>
          <w:p>
            <w:pPr>
              <w:rPr>
                <w:rFonts w:hint="eastAsia" w:eastAsia="宋体"/>
                <w:lang w:eastAsia="zh-CN"/>
              </w:rPr>
            </w:pPr>
            <w:r>
              <w:t>E:</w:t>
            </w:r>
            <w:r>
              <w:rPr>
                <w:rFonts w:hint="eastAsia"/>
                <w:lang w:eastAsia="zh-CN"/>
              </w:rPr>
              <w:t>29.09.02,29.10.07</w:t>
            </w:r>
          </w:p>
          <w:p>
            <w:pPr>
              <w:rPr>
                <w:rFonts w:hint="eastAsia" w:ascii="Times New Roman" w:hAnsi="Times New Roman" w:eastAsia="宋体" w:cs="Times New Roman"/>
                <w:kern w:val="2"/>
                <w:sz w:val="21"/>
                <w:szCs w:val="24"/>
                <w:lang w:val="en-US" w:eastAsia="zh-CN" w:bidi="ar-SA"/>
              </w:rPr>
            </w:pPr>
            <w:r>
              <w:t>O:</w:t>
            </w:r>
            <w:r>
              <w:rPr>
                <w:rFonts w:hint="eastAsia"/>
                <w:lang w:eastAsia="zh-CN"/>
              </w:rPr>
              <w:t>29.09.02,29.10.07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8" w:type="dxa"/>
            <w:vAlign w:val="center"/>
          </w:tcPr>
          <w:p>
            <w:pPr>
              <w:rPr>
                <w:rFonts w:ascii="Times New Roman" w:hAnsi="Times New Roman" w:eastAsia="宋体" w:cs="Times New Roman"/>
                <w:kern w:val="2"/>
                <w:sz w:val="21"/>
                <w:szCs w:val="24"/>
                <w:lang w:val="en-US" w:eastAsia="zh-CN" w:bidi="ar-SA"/>
              </w:rPr>
            </w:pPr>
            <w:r>
              <w:t>杨园</w:t>
            </w:r>
          </w:p>
        </w:tc>
        <w:tc>
          <w:tcPr>
            <w:tcW w:w="12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pPr>
              <w:rPr>
                <w:rFonts w:hint="eastAsia" w:eastAsia="宋体"/>
                <w:lang w:eastAsia="zh-CN"/>
              </w:rPr>
            </w:pPr>
            <w:r>
              <w:t>Q:</w:t>
            </w:r>
            <w:r>
              <w:rPr>
                <w:rFonts w:hint="eastAsia"/>
                <w:lang w:eastAsia="zh-CN"/>
              </w:rPr>
              <w:t>29.09.02,29.10.07</w:t>
            </w:r>
          </w:p>
          <w:p>
            <w:pPr>
              <w:rPr>
                <w:rFonts w:hint="eastAsia" w:ascii="Times New Roman" w:hAnsi="Times New Roman" w:eastAsia="宋体" w:cs="Times New Roman"/>
                <w:kern w:val="2"/>
                <w:sz w:val="21"/>
                <w:szCs w:val="24"/>
                <w:lang w:val="en-US" w:eastAsia="zh-CN" w:bidi="ar-SA"/>
              </w:rPr>
            </w:pPr>
            <w:r>
              <w:t>E:</w:t>
            </w:r>
            <w:r>
              <w:rPr>
                <w:rFonts w:hint="eastAsia"/>
                <w:lang w:eastAsia="zh-CN"/>
              </w:rPr>
              <w:t>29.09.02,29.10.07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8" w:type="dxa"/>
            <w:vAlign w:val="center"/>
          </w:tcPr>
          <w:p>
            <w:r>
              <w:rPr>
                <w:rFonts w:hint="eastAsia"/>
              </w:rPr>
              <w:t>姓名</w:t>
            </w:r>
          </w:p>
        </w:tc>
        <w:tc>
          <w:tcPr>
            <w:tcW w:w="12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8" w:type="dxa"/>
            <w:vAlign w:val="center"/>
          </w:tcPr>
          <w:p>
            <w:pPr>
              <w:rPr>
                <w:rFonts w:hint="eastAsia" w:eastAsia="宋体"/>
                <w:lang w:val="en-US" w:eastAsia="zh-CN"/>
              </w:rPr>
            </w:pPr>
            <w:r>
              <w:rPr>
                <w:rFonts w:hint="eastAsia"/>
                <w:lang w:val="en-US" w:eastAsia="zh-CN"/>
              </w:rPr>
              <w:t>/</w:t>
            </w:r>
          </w:p>
        </w:tc>
        <w:tc>
          <w:tcPr>
            <w:tcW w:w="12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一阶段变更了范围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pStyle w:val="1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Pr>
        <w:rPr>
          <w:rFonts w:hint="eastAsia"/>
        </w:rPr>
      </w:pP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jc w:val="both"/>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rPr>
                <w:rFonts w:ascii="宋体" w:hAnsi="宋体" w:eastAsia="宋体" w:cs="Times New Roman"/>
                <w:b/>
                <w:color w:val="000000"/>
                <w:kern w:val="2"/>
                <w:sz w:val="21"/>
                <w:szCs w:val="21"/>
                <w:lang w:val="en-US" w:eastAsia="zh-CN" w:bidi="ar-SA"/>
              </w:rPr>
            </w:pPr>
            <w:r>
              <w:t>高频直流电源屏</w:t>
            </w:r>
            <w:r>
              <w:rPr>
                <w:rFonts w:hint="eastAsia"/>
              </w:rPr>
              <w:t>、高频开关电源</w:t>
            </w:r>
            <w: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高频直流电源屏</w:t>
            </w:r>
            <w:r>
              <w:rPr>
                <w:rFonts w:hint="eastAsia"/>
              </w:rPr>
              <w:t>、高频开关电源</w:t>
            </w:r>
            <w:r>
              <w:t>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高频直流电源屏</w:t>
            </w:r>
            <w:r>
              <w:rPr>
                <w:rFonts w:hint="eastAsia"/>
              </w:rPr>
              <w:t>、高频开关电源</w:t>
            </w:r>
            <w:r>
              <w:t>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7620</wp:posOffset>
                  </wp:positionH>
                  <wp:positionV relativeFrom="paragraph">
                    <wp:posOffset>195580</wp:posOffset>
                  </wp:positionV>
                  <wp:extent cx="1247140" cy="60071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247140" cy="60071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lang w:val="en-US" w:eastAsia="zh-CN"/>
              </w:rPr>
            </w:pPr>
            <w:r>
              <w:rPr>
                <w:rFonts w:hint="eastAsia"/>
                <w:lang w:val="en-US" w:eastAsia="zh-CN"/>
              </w:rPr>
              <w:t>顾客满意、质量优先、服务一流、持续改进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cs="Times New Roman"/>
                      <w:sz w:val="18"/>
                      <w:szCs w:val="18"/>
                      <w:lang w:eastAsia="zh-CN"/>
                    </w:rPr>
                    <w:t>市场</w:t>
                  </w:r>
                  <w:r>
                    <w:rPr>
                      <w:rFonts w:hint="eastAsia" w:ascii="Times New Roman" w:hAnsi="Times New Roman" w:eastAsia="宋体" w:cs="Times New Roman"/>
                      <w:sz w:val="18"/>
                      <w:szCs w:val="18"/>
                    </w:rPr>
                    <w:t>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产品交付顾客验收合格率100%；</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顾客满意度≥90%</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8.3</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销售服务质量考核合格率≥95%</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合格次数/交付批次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pStyle w:val="12"/>
            </w:pPr>
          </w:p>
          <w:p>
            <w:pPr>
              <w:shd w:val="clear" w:color="auto" w:fill="C7DAF1" w:themeFill="text2" w:themeFillTint="32"/>
              <w:jc w:val="left"/>
              <w:rPr>
                <w:rFonts w:hint="default" w:eastAsia="宋体"/>
                <w:lang w:val="en-US" w:eastAsia="zh-CN"/>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w:t>
            </w:r>
            <w:r>
              <w:rPr>
                <w:sz w:val="20"/>
              </w:rPr>
              <w:t>高频开关电源</w:t>
            </w:r>
            <w:r>
              <w:rPr>
                <w:rFonts w:hint="eastAsia"/>
                <w:sz w:val="20"/>
                <w:lang w:val="en-US" w:eastAsia="zh-CN"/>
              </w:rPr>
              <w:t>供应商进行评价。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eastAsia" w:eastAsia="宋体"/>
                      <w:lang w:eastAsia="zh-CN"/>
                    </w:rPr>
                  </w:pPr>
                  <w:r>
                    <w:rPr>
                      <w:sz w:val="20"/>
                    </w:rPr>
                    <w:t>高频直流电源屏、高频开关电源的销售</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 6月 16日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2022年6 月 23日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营造绿色环境，遵守法律法规，提高环境意识</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推进控制保护，提高人员素质，持续改进管理</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cs="宋体"/>
                      <w:b w:val="0"/>
                      <w:bCs w:val="0"/>
                      <w:kern w:val="0"/>
                      <w:sz w:val="21"/>
                      <w:szCs w:val="21"/>
                      <w:lang w:val="en-US" w:eastAsia="zh-CN" w:bidi="ar-SA"/>
                    </w:rPr>
                    <w:t>市场</w:t>
                  </w:r>
                  <w:r>
                    <w:rPr>
                      <w:rFonts w:hint="eastAsia" w:ascii="宋体" w:hAnsi="宋体" w:eastAsia="宋体" w:cs="宋体"/>
                      <w:b w:val="0"/>
                      <w:bCs w:val="0"/>
                      <w:kern w:val="0"/>
                      <w:sz w:val="21"/>
                      <w:szCs w:val="21"/>
                      <w:lang w:val="en-US" w:eastAsia="zh-CN" w:bidi="ar-SA"/>
                    </w:rPr>
                    <w:t>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rFonts w:hint="default"/>
                      <w:sz w:val="18"/>
                      <w:szCs w:val="18"/>
                      <w:lang w:val="en-US"/>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w:t>
            </w:r>
            <w:r>
              <w:rPr>
                <w:sz w:val="20"/>
              </w:rPr>
              <w:t>高频开关电源</w:t>
            </w:r>
            <w:r>
              <w:rPr>
                <w:rFonts w:hint="eastAsia"/>
                <w:sz w:val="20"/>
                <w:lang w:val="en-US" w:eastAsia="zh-CN"/>
              </w:rPr>
              <w:t>供应商施加影响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2022年5月12日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 6月 16日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2022年6 月 23日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营造绿色环境，遵守法律法规，提高环境意识</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推进控制保护，提高人员素质，持续改进管理</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李卿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sz w:val="18"/>
                      <w:szCs w:val="18"/>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242" w:type="dxa"/>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sz w:val="18"/>
                      <w:szCs w:val="18"/>
                    </w:rPr>
                  </w:pPr>
                  <w:r>
                    <w:rPr>
                      <w:rFonts w:hint="eastAsia"/>
                      <w:sz w:val="18"/>
                      <w:szCs w:val="18"/>
                    </w:rPr>
                    <w:t>3.各职能部门加强绩效考核的有效开展，通过考核促进员工的工作积极性，提高业务素质。</w:t>
                  </w:r>
                </w:p>
              </w:tc>
              <w:tc>
                <w:tcPr>
                  <w:tcW w:w="1717" w:type="dxa"/>
                </w:tcPr>
                <w:p>
                  <w:pPr>
                    <w:rPr>
                      <w:rFonts w:hint="eastAsia"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疫情爆发带来的不安定</w:t>
                  </w:r>
                </w:p>
              </w:tc>
              <w:tc>
                <w:tcPr>
                  <w:tcW w:w="3242"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tcPr>
                <w:p>
                  <w:pPr>
                    <w:rPr>
                      <w:rFonts w:hint="eastAsia"/>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bCs/>
                      <w:sz w:val="24"/>
                    </w:rPr>
                    <w:t>杜绝</w:t>
                  </w:r>
                  <w:r>
                    <w:rPr>
                      <w:rFonts w:hint="eastAsia"/>
                      <w:bCs/>
                      <w:sz w:val="24"/>
                      <w:lang w:val="en-US" w:eastAsia="zh-CN"/>
                    </w:rPr>
                    <w:t>火灾触电</w:t>
                  </w:r>
                  <w:r>
                    <w:rPr>
                      <w:bCs/>
                      <w:sz w:val="24"/>
                    </w:rPr>
                    <w:t>事故</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eastAsia="宋体"/>
                <w:lang w:val="en-US" w:eastAsia="zh-CN"/>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w:t>
            </w:r>
            <w:r>
              <w:rPr>
                <w:sz w:val="20"/>
              </w:rPr>
              <w:t>高频开关电源</w:t>
            </w:r>
            <w:r>
              <w:rPr>
                <w:rFonts w:hint="eastAsia"/>
                <w:sz w:val="20"/>
                <w:lang w:val="en-US" w:eastAsia="zh-CN"/>
              </w:rPr>
              <w:t>供应商施加影响。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组织的生产和服务提供流程图（见第三条款），企业危险源和职业健康安全风险控制情况</w:t>
            </w:r>
          </w:p>
          <w:p>
            <w:pPr>
              <w:pStyle w:val="1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14</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2022年5月12日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 6月 16日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rPr>
            </w:pP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2022年6 月 23日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E8A4539"/>
    <w:rsid w:val="29577B4B"/>
    <w:rsid w:val="4136310B"/>
    <w:rsid w:val="48B347FC"/>
    <w:rsid w:val="4A9526DF"/>
    <w:rsid w:val="4ABC2699"/>
    <w:rsid w:val="51190671"/>
    <w:rsid w:val="57EE0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2022-08-12T03:08:26Z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