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85725</wp:posOffset>
            </wp:positionH>
            <wp:positionV relativeFrom="paragraph">
              <wp:posOffset>46355</wp:posOffset>
            </wp:positionV>
            <wp:extent cx="6253480" cy="9356090"/>
            <wp:effectExtent l="0" t="0" r="7620" b="3810"/>
            <wp:wrapNone/>
            <wp:docPr id="2" name="图片 2" descr="新文档 2022-08-12 09.28.1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8-12 09.28.13_7"/>
                    <pic:cNvPicPr>
                      <a:picLocks noChangeAspect="1"/>
                    </pic:cNvPicPr>
                  </pic:nvPicPr>
                  <pic:blipFill>
                    <a:blip r:embed="rId6"/>
                    <a:stretch>
                      <a:fillRect/>
                    </a:stretch>
                  </pic:blipFill>
                  <pic:spPr>
                    <a:xfrm>
                      <a:off x="0" y="0"/>
                      <a:ext cx="6253480" cy="935609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河北北宸电气科技有限公司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0913-2022-QEO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B84170F"/>
    <w:rsid w:val="60414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2022-08-12T01:55:37Z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2052-11.1.0.11753</vt:lpwstr>
  </property>
</Properties>
</file>