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0564-2022-QO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重庆耀辉环保有限公司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重庆耀辉环保有限公司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重庆市潼南区田家镇长兴大道356号（自主承诺）</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重庆市潼南区田家镇长兴大道356号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王宁</w:t>
            </w:r>
            <w:bookmarkEnd w:id="10"/>
          </w:p>
        </w:tc>
        <w:tc>
          <w:tcPr>
            <w:tcW w:w="1313" w:type="dxa"/>
            <w:vAlign w:val="center"/>
          </w:tcPr>
          <w:p>
            <w:r>
              <w:rPr>
                <w:rFonts w:hint="eastAsia"/>
              </w:rPr>
              <w:t>电话.</w:t>
            </w:r>
          </w:p>
        </w:tc>
        <w:tc>
          <w:tcPr>
            <w:tcW w:w="2180" w:type="dxa"/>
            <w:vAlign w:val="center"/>
          </w:tcPr>
          <w:p>
            <w:bookmarkStart w:id="11" w:name="联系人电话"/>
            <w:r>
              <w:t>18983869986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张青锋</w:t>
            </w:r>
            <w:bookmarkEnd w:id="13"/>
          </w:p>
        </w:tc>
        <w:tc>
          <w:tcPr>
            <w:tcW w:w="1313" w:type="dxa"/>
            <w:vAlign w:val="center"/>
          </w:tcPr>
          <w:p>
            <w:r>
              <w:rPr>
                <w:rFonts w:hint="eastAsia"/>
              </w:rPr>
              <w:t>管理者代表</w:t>
            </w:r>
          </w:p>
        </w:tc>
        <w:tc>
          <w:tcPr>
            <w:tcW w:w="2180" w:type="dxa"/>
          </w:tcPr>
          <w:p>
            <w:bookmarkStart w:id="14" w:name="管理者代表"/>
            <w:r>
              <w:t>王宁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w:t>
            </w:r>
            <w:r>
              <w:rPr>
                <w:rFonts w:hint="eastAsia"/>
                <w:lang w:eastAsia="zh-CN"/>
              </w:rPr>
              <w:t>□</w:t>
            </w:r>
            <w:r>
              <w:rPr>
                <w:rFonts w:hint="eastAsia"/>
              </w:rPr>
              <w:t>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r>
              <w:rPr>
                <w:rFonts w:hint="eastAsia"/>
                <w:lang w:val="en-US" w:eastAsia="zh-CN"/>
              </w:rPr>
              <w:t>固废评估（物理和化学成分）——取样分析——配料——熔炼——铜合金锭及炉渣处理。</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2022年08月08日 上午至2022年08月09日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Q：许可范围内的工业废物（含资质范围内危险废物）的处置及综合利用。</w:t>
            </w:r>
          </w:p>
          <w:p>
            <w:r>
              <w:t>O：许可范围内的工业废物（含资质范围内危险废物）的处置及综合利用所涉及场所的相关职业健康安全管理活动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Q：39.03.01;39.03.02</w:t>
            </w:r>
          </w:p>
          <w:p>
            <w:r>
              <w:t>O：39.03.01;39.03.02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sz w:val="21"/>
                <w:szCs w:val="21"/>
                <w:u w:val="none"/>
                <w:lang w:val="en-US" w:eastAsia="zh-CN"/>
              </w:rPr>
              <w:t>2022年3月15日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重庆耀辉环保有限公司</w:t>
            </w:r>
            <w:r>
              <w:rPr>
                <w:rFonts w:hint="eastAsia"/>
                <w:sz w:val="21"/>
                <w:szCs w:val="21"/>
                <w:lang w:val="en-US" w:eastAsia="zh-CN"/>
              </w:rPr>
              <w:t>/</w:t>
            </w:r>
            <w:r>
              <w:rPr>
                <w:sz w:val="21"/>
                <w:szCs w:val="21"/>
              </w:rPr>
              <w:t>重庆市潼南区田家镇长兴大道356号（自主承诺）</w:t>
            </w:r>
          </w:p>
        </w:tc>
        <w:tc>
          <w:tcPr>
            <w:tcW w:w="2267" w:type="dxa"/>
            <w:vAlign w:val="top"/>
          </w:tcPr>
          <w:p>
            <w:pPr>
              <w:spacing w:before="40" w:after="40"/>
              <w:rPr>
                <w:lang w:val="de-DE" w:eastAsia="ja-JP"/>
              </w:rPr>
            </w:pPr>
            <w:r>
              <w:rPr>
                <w:sz w:val="21"/>
                <w:szCs w:val="21"/>
              </w:rPr>
              <w:t>重庆市潼南区田家镇长兴大道356号</w:t>
            </w:r>
          </w:p>
        </w:tc>
        <w:tc>
          <w:tcPr>
            <w:tcW w:w="571" w:type="dxa"/>
            <w:vAlign w:val="center"/>
          </w:tcPr>
          <w:p>
            <w:pPr>
              <w:spacing w:before="40" w:after="40"/>
              <w:rPr>
                <w:lang w:eastAsia="ja-JP"/>
              </w:rPr>
            </w:pPr>
            <w:r>
              <w:rPr>
                <w:rFonts w:hint="eastAsia" w:eastAsia="黑体"/>
                <w:szCs w:val="21"/>
                <w:lang w:val="en-US" w:eastAsia="zh-CN"/>
              </w:rPr>
              <w:t>150</w:t>
            </w:r>
          </w:p>
        </w:tc>
        <w:tc>
          <w:tcPr>
            <w:tcW w:w="2803" w:type="dxa"/>
            <w:vAlign w:val="center"/>
          </w:tcPr>
          <w:p>
            <w:r>
              <w:t>许可范围内的工业废物（含资质范围内危险废物）的处置及综合利用。</w:t>
            </w:r>
          </w:p>
          <w:p>
            <w:pPr>
              <w:pStyle w:val="21"/>
              <w:rPr>
                <w:lang w:eastAsia="ja-JP"/>
              </w:rPr>
            </w:pPr>
          </w:p>
        </w:tc>
        <w:tc>
          <w:tcPr>
            <w:tcW w:w="669" w:type="dxa"/>
            <w:vAlign w:val="center"/>
          </w:tcPr>
          <w:p>
            <w:pPr>
              <w:spacing w:before="40" w:after="40"/>
              <w:rPr>
                <w:lang w:eastAsia="ja-JP"/>
              </w:rPr>
            </w:pPr>
            <w:r>
              <w:rPr>
                <w:rFonts w:hint="eastAsia" w:ascii="宋体" w:hAnsi="宋体"/>
                <w:b/>
                <w:sz w:val="21"/>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lang w:eastAsia="ja-JP"/>
              </w:rPr>
            </w:pPr>
            <w:r>
              <w:rPr>
                <w:sz w:val="21"/>
                <w:szCs w:val="21"/>
              </w:rPr>
              <w:t>重庆耀辉环保有限公司</w:t>
            </w:r>
            <w:r>
              <w:rPr>
                <w:rFonts w:hint="eastAsia"/>
                <w:sz w:val="21"/>
                <w:szCs w:val="21"/>
                <w:lang w:val="en-US" w:eastAsia="zh-CN"/>
              </w:rPr>
              <w:t>/</w:t>
            </w:r>
            <w:r>
              <w:rPr>
                <w:sz w:val="21"/>
                <w:szCs w:val="21"/>
              </w:rPr>
              <w:t>重庆市潼南区田家镇长兴大道356号（自主承诺）</w:t>
            </w:r>
          </w:p>
        </w:tc>
        <w:tc>
          <w:tcPr>
            <w:tcW w:w="2267" w:type="dxa"/>
            <w:vAlign w:val="top"/>
          </w:tcPr>
          <w:p>
            <w:pPr>
              <w:spacing w:before="40" w:after="40"/>
              <w:rPr>
                <w:lang w:eastAsia="ja-JP"/>
              </w:rPr>
            </w:pPr>
            <w:r>
              <w:rPr>
                <w:sz w:val="21"/>
                <w:szCs w:val="21"/>
              </w:rPr>
              <w:t>重庆市潼南区田家镇长兴大道356号</w:t>
            </w:r>
          </w:p>
        </w:tc>
        <w:tc>
          <w:tcPr>
            <w:tcW w:w="571" w:type="dxa"/>
            <w:vAlign w:val="center"/>
          </w:tcPr>
          <w:p>
            <w:pPr>
              <w:spacing w:before="40" w:after="40"/>
              <w:rPr>
                <w:lang w:eastAsia="ja-JP"/>
              </w:rPr>
            </w:pPr>
            <w:r>
              <w:rPr>
                <w:rFonts w:hint="eastAsia" w:eastAsia="黑体"/>
                <w:szCs w:val="21"/>
                <w:lang w:val="en-US" w:eastAsia="zh-CN"/>
              </w:rPr>
              <w:t>150</w:t>
            </w:r>
          </w:p>
        </w:tc>
        <w:tc>
          <w:tcPr>
            <w:tcW w:w="2803" w:type="dxa"/>
            <w:vAlign w:val="center"/>
          </w:tcPr>
          <w:p>
            <w:pPr>
              <w:spacing w:before="40" w:after="40"/>
              <w:rPr>
                <w:lang w:eastAsia="ja-JP"/>
              </w:rPr>
            </w:pPr>
            <w:r>
              <w:t>许可范围内的工业废物（含资质范围内危险废物）的处置及综合利用所涉及场所的相关职业健康安全管理活动</w:t>
            </w:r>
          </w:p>
        </w:tc>
        <w:tc>
          <w:tcPr>
            <w:tcW w:w="669" w:type="dxa"/>
            <w:vAlign w:val="center"/>
          </w:tcPr>
          <w:p>
            <w:pPr>
              <w:rPr>
                <w:rFonts w:ascii="宋体" w:hAnsi="宋体"/>
                <w:b/>
                <w:sz w:val="21"/>
                <w:szCs w:val="21"/>
              </w:rPr>
            </w:pPr>
            <w:r>
              <w:rPr>
                <w:rFonts w:hint="eastAsia" w:ascii="宋体" w:hAnsi="宋体"/>
                <w:b/>
                <w:sz w:val="21"/>
                <w:szCs w:val="21"/>
              </w:rPr>
              <w:t>GB/T 45001-2020</w:t>
            </w:r>
          </w:p>
          <w:p>
            <w:pPr>
              <w:spacing w:before="40" w:after="40"/>
              <w:rPr>
                <w:lang w:eastAsia="ja-JP"/>
              </w:rPr>
            </w:pPr>
          </w:p>
        </w:tc>
        <w:tc>
          <w:tcPr>
            <w:tcW w:w="668" w:type="dxa"/>
            <w:shd w:val="clear" w:color="auto" w:fill="FFFFFF"/>
            <w:vAlign w:val="top"/>
          </w:tcPr>
          <w:sdt>
            <w:sdtPr>
              <w:rPr>
                <w:rFonts w:eastAsia="黑体"/>
                <w:szCs w:val="21"/>
              </w:rPr>
              <w:id w:val="1360237495"/>
            </w:sdtPr>
            <w:sdtEndPr>
              <w:rPr>
                <w:rFonts w:eastAsia="黑体"/>
                <w:szCs w:val="21"/>
              </w:rPr>
            </w:sdtEndPr>
            <w:sdtContent>
              <w:p>
                <w:pPr>
                  <w:rPr>
                    <w:rFonts w:eastAsia="黑体"/>
                    <w:szCs w:val="21"/>
                  </w:rPr>
                </w:pPr>
                <w:r>
                  <w:rPr>
                    <w:rFonts w:hint="eastAsia" w:eastAsia="黑体"/>
                    <w:szCs w:val="21"/>
                    <w:lang w:eastAsia="zh-CN"/>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2022-N1QMS-4093566</w:t>
            </w:r>
          </w:p>
          <w:p>
            <w:r>
              <w:t>2022-N1OHSMS-3093566</w:t>
            </w:r>
          </w:p>
        </w:tc>
        <w:tc>
          <w:tcPr>
            <w:tcW w:w="2179" w:type="dxa"/>
            <w:vAlign w:val="center"/>
          </w:tcPr>
          <w:p>
            <w:r>
              <w:t>Q:39.03.01</w:t>
            </w:r>
          </w:p>
          <w:p>
            <w:r>
              <w:t>O:39.03.01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2021-N1OHSMS-2230067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姚健</w:t>
            </w:r>
          </w:p>
        </w:tc>
        <w:tc>
          <w:tcPr>
            <w:tcW w:w="1089" w:type="dxa"/>
            <w:vAlign w:val="center"/>
          </w:tcPr>
          <w:p>
            <w:r>
              <w:t>组员</w:t>
            </w:r>
          </w:p>
        </w:tc>
        <w:tc>
          <w:tcPr>
            <w:tcW w:w="711" w:type="dxa"/>
            <w:vAlign w:val="center"/>
          </w:tcPr>
          <w:p>
            <w:r>
              <w:t>男</w:t>
            </w:r>
          </w:p>
        </w:tc>
        <w:tc>
          <w:tcPr>
            <w:tcW w:w="3870" w:type="dxa"/>
            <w:vAlign w:val="center"/>
          </w:tcPr>
          <w:p>
            <w:r>
              <w:t>ISC-JSZJ-555</w:t>
            </w:r>
          </w:p>
          <w:p>
            <w:r>
              <w:t>ISC-JSZJ-555</w:t>
            </w:r>
          </w:p>
          <w:p>
            <w:r>
              <w:t>重庆伟世鑫盛环保科技有限公司</w:t>
            </w:r>
          </w:p>
        </w:tc>
        <w:tc>
          <w:tcPr>
            <w:tcW w:w="2179" w:type="dxa"/>
            <w:vAlign w:val="center"/>
          </w:tcPr>
          <w:p>
            <w:r>
              <w:t>Q:39.03.02</w:t>
            </w:r>
          </w:p>
          <w:p>
            <w:r>
              <w:t>O:39.03.02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imes New Roman" w:hAnsi="Times New Roman" w:eastAsia="宋体" w:cs="Times New Roman"/>
                <w:b/>
                <w:color w:val="000000"/>
                <w:kern w:val="2"/>
                <w:sz w:val="21"/>
                <w:szCs w:val="21"/>
                <w:lang w:val="en-US" w:eastAsia="zh-CN" w:bidi="ar-SA"/>
              </w:rPr>
            </w:pPr>
            <w:r>
              <w:rPr>
                <w:b/>
                <w:color w:val="000000"/>
                <w:szCs w:val="21"/>
              </w:rPr>
              <w:t>姚健</w:t>
            </w:r>
          </w:p>
        </w:tc>
        <w:tc>
          <w:tcPr>
            <w:tcW w:w="1089" w:type="dxa"/>
            <w:vAlign w:val="center"/>
          </w:tcPr>
          <w:p>
            <w:pPr>
              <w:rPr>
                <w:rFonts w:hint="default" w:ascii="Times New Roman" w:hAnsi="Times New Roman" w:eastAsia="宋体" w:cs="Times New Roman"/>
                <w:b/>
                <w:color w:val="000000"/>
                <w:kern w:val="2"/>
                <w:sz w:val="21"/>
                <w:szCs w:val="21"/>
                <w:lang w:val="en-US" w:eastAsia="zh-CN" w:bidi="ar-SA"/>
              </w:rPr>
            </w:pPr>
            <w:r>
              <w:rPr>
                <w:rFonts w:hint="eastAsia"/>
                <w:b/>
                <w:color w:val="000000"/>
                <w:szCs w:val="21"/>
                <w:lang w:val="en-US" w:eastAsia="zh-CN"/>
              </w:rPr>
              <w:t>技术专家</w:t>
            </w:r>
          </w:p>
        </w:tc>
        <w:tc>
          <w:tcPr>
            <w:tcW w:w="711" w:type="dxa"/>
            <w:vAlign w:val="center"/>
          </w:tcPr>
          <w:p>
            <w:pPr>
              <w:rPr>
                <w:rFonts w:hint="eastAsia" w:ascii="Times New Roman" w:hAnsi="Times New Roman" w:eastAsia="宋体" w:cs="Times New Roman"/>
                <w:b/>
                <w:color w:val="000000"/>
                <w:kern w:val="2"/>
                <w:sz w:val="21"/>
                <w:szCs w:val="21"/>
                <w:lang w:val="en-US" w:eastAsia="zh-CN" w:bidi="ar-SA"/>
              </w:rPr>
            </w:pPr>
            <w:r>
              <w:rPr>
                <w:rFonts w:hint="eastAsia"/>
                <w:b/>
                <w:color w:val="000000"/>
                <w:szCs w:val="21"/>
                <w:lang w:val="en-US" w:eastAsia="zh-CN"/>
              </w:rPr>
              <w:t>男</w:t>
            </w:r>
          </w:p>
        </w:tc>
        <w:tc>
          <w:tcPr>
            <w:tcW w:w="3870" w:type="dxa"/>
            <w:vAlign w:val="center"/>
          </w:tcPr>
          <w:p>
            <w:pPr>
              <w:rPr>
                <w:rFonts w:ascii="Times New Roman" w:hAnsi="Times New Roman" w:eastAsia="宋体" w:cs="Times New Roman"/>
                <w:b/>
                <w:color w:val="000000"/>
                <w:kern w:val="2"/>
                <w:sz w:val="21"/>
                <w:szCs w:val="21"/>
                <w:lang w:val="en-US" w:eastAsia="zh-CN" w:bidi="ar-SA"/>
              </w:rPr>
            </w:pPr>
            <w:r>
              <w:rPr>
                <w:b/>
                <w:color w:val="000000"/>
                <w:szCs w:val="21"/>
              </w:rPr>
              <w:t>重庆伟世鑫盛环保科技有限公司</w:t>
            </w:r>
          </w:p>
        </w:tc>
        <w:tc>
          <w:tcPr>
            <w:tcW w:w="2179" w:type="dxa"/>
            <w:vAlign w:val="center"/>
          </w:tcPr>
          <w:p>
            <w:pPr>
              <w:rPr>
                <w:rFonts w:hint="eastAsia" w:ascii="Times New Roman" w:hAnsi="Times New Roman" w:eastAsia="宋体" w:cs="Times New Roman"/>
                <w:b/>
                <w:color w:val="000000"/>
                <w:kern w:val="2"/>
                <w:sz w:val="21"/>
                <w:szCs w:val="21"/>
                <w:lang w:val="en-US" w:eastAsia="zh-CN" w:bidi="ar-SA"/>
              </w:rPr>
            </w:pPr>
            <w:r>
              <w:rPr>
                <w:rFonts w:hint="eastAsia"/>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一阶段审核无问题整改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r>
              <w:t>许可范围内的工业废物（含资质范围内危险废物）的处置及综合利用。</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pPr>
            <w:r>
              <w:t>许可范围内的工业废物（含资质范围内危险废物）的处置及综合利用所涉及场所的相关职业健康安全管理活动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8"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646430</wp:posOffset>
                  </wp:positionH>
                  <wp:positionV relativeFrom="paragraph">
                    <wp:posOffset>106680</wp:posOffset>
                  </wp:positionV>
                  <wp:extent cx="469900" cy="395605"/>
                  <wp:effectExtent l="0" t="0" r="6350" b="4445"/>
                  <wp:wrapNone/>
                  <wp:docPr id="2"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descr="15cd665cf2cf133a499ed811c6806d9"/>
                          <pic:cNvPicPr>
                            <a:picLocks noChangeAspect="1"/>
                          </pic:cNvPicPr>
                        </pic:nvPicPr>
                        <pic:blipFill>
                          <a:blip r:embed="rId6"/>
                          <a:stretch>
                            <a:fillRect/>
                          </a:stretch>
                        </pic:blipFill>
                        <pic:spPr>
                          <a:xfrm>
                            <a:off x="0" y="0"/>
                            <a:ext cx="469900" cy="3956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2022年8月9日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科学规范、敢于领先、达到顾客满意；节能降耗、污染预防、净化生存环境； 以人为本、确保安全、降低职业风险</w:t>
            </w:r>
            <w:r>
              <w:rPr>
                <w:rFonts w:hint="eastAsia" w:ascii="Times New Roman" w:hAnsi="Times New Roman" w:eastAsia="宋体" w:cs="Times New Roman"/>
                <w:color w:val="000000"/>
                <w:szCs w:val="18"/>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生产技术</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603"/>
              <w:gridCol w:w="1108"/>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60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08"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4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eastAsia="宋体" w:cs="Times New Roman"/>
                      <w:sz w:val="21"/>
                      <w:szCs w:val="21"/>
                    </w:rPr>
                    <w:t>对工业废物、危险废弃物合规处置率100%</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GB" w:eastAsia="zh-CN" w:bidi="ar-SA"/>
                    </w:rPr>
                  </w:pPr>
                  <w:r>
                    <w:rPr>
                      <w:rFonts w:hint="eastAsia" w:ascii="宋体" w:hAnsi="宋体" w:eastAsia="宋体" w:cs="Times New Roman"/>
                      <w:sz w:val="21"/>
                      <w:szCs w:val="21"/>
                    </w:rPr>
                    <w:t>处理数/总数*100%</w:t>
                  </w:r>
                </w:p>
              </w:tc>
              <w:tc>
                <w:tcPr>
                  <w:tcW w:w="1108" w:type="dxa"/>
                  <w:shd w:val="clear" w:color="auto" w:fill="auto"/>
                  <w:vAlign w:val="center"/>
                </w:tcPr>
                <w:p>
                  <w:pPr>
                    <w:shd w:val="clear" w:color="auto" w:fill="C7DAF1" w:themeFill="text2" w:themeFillTint="32"/>
                    <w:rPr>
                      <w:rFonts w:hint="eastAsia" w:eastAsia="宋体"/>
                      <w:highlight w:val="none"/>
                      <w:lang w:val="en-GB" w:eastAsia="zh-CN"/>
                    </w:rPr>
                  </w:pPr>
                  <w:r>
                    <w:rPr>
                      <w:rFonts w:hint="eastAsia"/>
                      <w:highlight w:val="none"/>
                      <w:lang w:val="en-US" w:eastAsia="zh-CN"/>
                    </w:rPr>
                    <w:t>生产技术部</w:t>
                  </w:r>
                  <w:r>
                    <w:rPr>
                      <w:rFonts w:hint="eastAsia"/>
                      <w:highlight w:val="none"/>
                      <w:lang w:val="en-GB" w:eastAsia="zh-CN"/>
                    </w:rPr>
                    <w:t>部</w:t>
                  </w:r>
                </w:p>
              </w:tc>
              <w:tc>
                <w:tcPr>
                  <w:tcW w:w="1549"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宋体" w:hAnsi="宋体" w:eastAsia="宋体" w:cs="Times New Roman"/>
                      <w:sz w:val="21"/>
                      <w:szCs w:val="21"/>
                      <w:lang w:val="en-US" w:eastAsia="zh-CN"/>
                    </w:rPr>
                    <w:t>合规处置率100%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rPr>
                    <w:t>客户满意度≥90分</w:t>
                  </w: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kern w:val="0"/>
                      <w:sz w:val="21"/>
                      <w:szCs w:val="21"/>
                      <w:lang w:val="en-US" w:eastAsia="zh-CN"/>
                    </w:rPr>
                    <w:t>顾客满意度=∑n1+n2+n3+……+ni/n×100%</w:t>
                  </w:r>
                </w:p>
              </w:tc>
              <w:tc>
                <w:tcPr>
                  <w:tcW w:w="1108"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val="en-US" w:eastAsia="zh-CN"/>
                    </w:rPr>
                    <w:t>商贸</w:t>
                  </w:r>
                  <w:r>
                    <w:rPr>
                      <w:rFonts w:hint="eastAsia" w:ascii="宋体" w:hAnsi="宋体"/>
                      <w:highlight w:val="none"/>
                      <w:lang w:eastAsia="zh-CN"/>
                    </w:rPr>
                    <w:t>部</w:t>
                  </w:r>
                </w:p>
              </w:tc>
              <w:tc>
                <w:tcPr>
                  <w:tcW w:w="1549"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ascii="宋体" w:hAnsi="宋体" w:eastAsia="宋体" w:cs="宋体"/>
                      <w:kern w:val="0"/>
                      <w:sz w:val="21"/>
                      <w:szCs w:val="21"/>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p>
              </w:tc>
              <w:tc>
                <w:tcPr>
                  <w:tcW w:w="1108" w:type="dxa"/>
                  <w:shd w:val="clear" w:color="auto" w:fill="auto"/>
                  <w:vAlign w:val="center"/>
                </w:tcPr>
                <w:p>
                  <w:pPr>
                    <w:shd w:val="clear" w:color="auto" w:fill="C7DAF1" w:themeFill="text2" w:themeFillTint="32"/>
                    <w:rPr>
                      <w:rFonts w:hint="eastAsia" w:ascii="宋体" w:hAnsi="宋体" w:eastAsia="宋体"/>
                      <w:highlight w:val="none"/>
                      <w:lang w:eastAsia="zh-CN"/>
                    </w:rPr>
                  </w:pPr>
                </w:p>
              </w:tc>
              <w:tc>
                <w:tcPr>
                  <w:tcW w:w="1549" w:type="dxa"/>
                  <w:shd w:val="clear" w:color="auto" w:fill="auto"/>
                  <w:vAlign w:val="center"/>
                </w:tcPr>
                <w:p>
                  <w:pPr>
                    <w:shd w:val="clear" w:color="auto" w:fill="C7DAF1" w:themeFill="text2" w:themeFillTint="32"/>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p>
              </w:tc>
              <w:tc>
                <w:tcPr>
                  <w:tcW w:w="3603"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p>
              </w:tc>
              <w:tc>
                <w:tcPr>
                  <w:tcW w:w="1108" w:type="dxa"/>
                  <w:shd w:val="clear" w:color="auto" w:fill="auto"/>
                  <w:vAlign w:val="center"/>
                </w:tcPr>
                <w:p>
                  <w:pPr>
                    <w:shd w:val="clear" w:color="auto" w:fill="C7DAF1" w:themeFill="text2" w:themeFillTint="32"/>
                    <w:rPr>
                      <w:rFonts w:hint="eastAsia" w:ascii="宋体" w:hAnsi="宋体" w:eastAsia="宋体"/>
                      <w:highlight w:val="none"/>
                      <w:lang w:eastAsia="zh-CN"/>
                    </w:rPr>
                  </w:pPr>
                </w:p>
              </w:tc>
              <w:tc>
                <w:tcPr>
                  <w:tcW w:w="1549"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p>
              </w:tc>
            </w:tr>
          </w:tbl>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目标已实现</w:t>
            </w:r>
          </w:p>
          <w:p>
            <w:pPr>
              <w:shd w:val="clear" w:color="auto" w:fill="C7DAF1" w:themeFill="text2" w:themeFillTint="32"/>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lang w:val="en-US" w:eastAsia="zh-CN"/>
              </w:rPr>
              <w:t>办公</w:t>
            </w:r>
            <w:r>
              <w:rPr>
                <w:rFonts w:hint="eastAsia"/>
                <w:highlight w:val="none"/>
                <w:lang w:eastAsia="zh-CN"/>
              </w:rPr>
              <w:t>面积</w:t>
            </w:r>
            <w:r>
              <w:rPr>
                <w:rFonts w:hint="eastAsia"/>
                <w:highlight w:val="none"/>
                <w:lang w:val="en-US" w:eastAsia="zh-CN"/>
              </w:rPr>
              <w:t>2000</w:t>
            </w:r>
            <w:r>
              <w:rPr>
                <w:rFonts w:hint="eastAsia"/>
                <w:highlight w:val="none"/>
                <w:lang w:eastAsia="zh-CN"/>
              </w:rPr>
              <w:t>平方米；生产车间</w:t>
            </w:r>
            <w:r>
              <w:rPr>
                <w:rFonts w:hint="eastAsia"/>
                <w:highlight w:val="none"/>
                <w:lang w:val="en-US" w:eastAsia="zh-CN"/>
              </w:rPr>
              <w:t>面积35000平方米</w:t>
            </w:r>
            <w:r>
              <w:rPr>
                <w:rFonts w:hint="eastAsia"/>
                <w:highlight w:val="none"/>
                <w:lang w:eastAsia="zh-CN"/>
              </w:rPr>
              <w:t>；库房1个；实验室</w:t>
            </w:r>
            <w:r>
              <w:rPr>
                <w:rFonts w:hint="eastAsia"/>
                <w:highlight w:val="none"/>
                <w:lang w:val="en-US" w:eastAsia="zh-CN"/>
              </w:rPr>
              <w:t>1</w:t>
            </w:r>
            <w:r>
              <w:rPr>
                <w:rFonts w:hint="eastAsia"/>
                <w:highlight w:val="none"/>
                <w:lang w:eastAsia="zh-CN"/>
              </w:rPr>
              <w:t>个</w:t>
            </w:r>
            <w:r>
              <w:rPr>
                <w:rFonts w:hint="eastAsia"/>
                <w:highlight w:val="none"/>
              </w:rPr>
              <w:t>；</w:t>
            </w:r>
          </w:p>
          <w:p>
            <w:pPr>
              <w:shd w:val="clear" w:color="auto" w:fill="C7DAF1" w:themeFill="text2" w:themeFillTint="32"/>
              <w:rPr>
                <w:rFonts w:hint="eastAsia"/>
                <w:color w:val="000000"/>
                <w:szCs w:val="21"/>
                <w:lang w:val="en-US" w:eastAsia="zh-CN"/>
              </w:rPr>
            </w:pPr>
            <w:r>
              <w:rPr>
                <w:rFonts w:hint="eastAsia"/>
              </w:rPr>
              <w:t>主要生产设备有：</w:t>
            </w:r>
            <w:r>
              <w:rPr>
                <w:rFonts w:hint="eastAsia"/>
                <w:color w:val="000000"/>
                <w:szCs w:val="21"/>
                <w:lang w:val="en-US" w:eastAsia="zh-CN"/>
              </w:rPr>
              <w:t>污泥低温烘干机</w:t>
            </w:r>
            <w:r>
              <w:rPr>
                <w:rFonts w:hint="eastAsia"/>
                <w:color w:val="000000"/>
                <w:szCs w:val="21"/>
                <w:lang w:eastAsia="zh-CN"/>
              </w:rPr>
              <w:t>、</w:t>
            </w:r>
            <w:r>
              <w:rPr>
                <w:rFonts w:hint="eastAsia"/>
                <w:color w:val="000000"/>
                <w:szCs w:val="21"/>
                <w:lang w:val="en-US" w:eastAsia="zh-CN"/>
              </w:rPr>
              <w:t>富氧侧吹熔炼炉</w:t>
            </w:r>
            <w:r>
              <w:rPr>
                <w:rFonts w:hint="eastAsia"/>
                <w:color w:val="000000"/>
                <w:szCs w:val="21"/>
                <w:lang w:eastAsia="zh-CN"/>
              </w:rPr>
              <w:t>、</w:t>
            </w:r>
            <w:r>
              <w:rPr>
                <w:rFonts w:hint="eastAsia"/>
                <w:color w:val="000000"/>
                <w:szCs w:val="21"/>
                <w:lang w:val="en-US" w:eastAsia="zh-CN"/>
              </w:rPr>
              <w:t>辅助熔池</w:t>
            </w:r>
            <w:r>
              <w:rPr>
                <w:rFonts w:hint="eastAsia"/>
                <w:color w:val="000000"/>
                <w:szCs w:val="21"/>
                <w:lang w:eastAsia="zh-CN"/>
              </w:rPr>
              <w:t>、</w:t>
            </w:r>
            <w:r>
              <w:rPr>
                <w:rFonts w:hint="eastAsia"/>
                <w:color w:val="000000"/>
                <w:szCs w:val="21"/>
                <w:lang w:val="en-US" w:eastAsia="zh-CN"/>
              </w:rPr>
              <w:t>余热锅炉</w:t>
            </w:r>
            <w:r>
              <w:rPr>
                <w:rFonts w:hint="eastAsia"/>
                <w:color w:val="000000"/>
                <w:szCs w:val="21"/>
                <w:lang w:eastAsia="zh-CN"/>
              </w:rPr>
              <w:t>、</w:t>
            </w:r>
            <w:r>
              <w:rPr>
                <w:rFonts w:hint="eastAsia"/>
                <w:color w:val="000000"/>
                <w:szCs w:val="21"/>
                <w:lang w:val="en-US" w:eastAsia="zh-CN"/>
              </w:rPr>
              <w:t>SNCR脱硝系统</w:t>
            </w:r>
            <w:r>
              <w:rPr>
                <w:rFonts w:hint="eastAsia"/>
                <w:color w:val="000000"/>
                <w:szCs w:val="21"/>
                <w:lang w:eastAsia="zh-CN"/>
              </w:rPr>
              <w:t>、</w:t>
            </w:r>
            <w:r>
              <w:rPr>
                <w:rFonts w:hint="eastAsia"/>
                <w:color w:val="000000"/>
                <w:szCs w:val="21"/>
                <w:lang w:val="en-US" w:eastAsia="zh-CN"/>
              </w:rPr>
              <w:t>熔炼烟气除尘器、脱硫吸收塔、脱硫除雾塔等</w:t>
            </w:r>
          </w:p>
          <w:p>
            <w:pPr>
              <w:shd w:val="clear" w:color="auto" w:fill="C7DAF1" w:themeFill="text2" w:themeFillTint="32"/>
            </w:pPr>
            <w:r>
              <w:rPr>
                <w:rFonts w:hint="eastAsia"/>
              </w:rPr>
              <w:t>特种设备：</w:t>
            </w:r>
            <w:r>
              <w:rPr>
                <w:rFonts w:hint="eastAsia"/>
                <w:lang w:eastAsia="zh-CN"/>
              </w:rPr>
              <w:t>■</w:t>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widowControl/>
              <w:spacing w:before="40"/>
              <w:jc w:val="left"/>
              <w:rPr>
                <w:u w:val="single"/>
              </w:rPr>
            </w:pPr>
            <w:r>
              <w:rPr>
                <w:rFonts w:hint="eastAsia"/>
              </w:rPr>
              <w:t>国家强检的计量器具有：</w:t>
            </w:r>
            <w:r>
              <w:rPr>
                <w:rFonts w:hint="eastAsia"/>
                <w:color w:val="000000"/>
                <w:lang w:val="en-US" w:eastAsia="zh-CN"/>
              </w:rPr>
              <w:t>汽车衡、电子天平、量杯、滴管、能量色散X荧光光谱仪、压力表、安全阀等</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334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r>
                    <w:rPr>
                      <w:rFonts w:hint="eastAsia"/>
                    </w:rPr>
                    <w:t>产品/服务名称</w:t>
                  </w:r>
                </w:p>
              </w:tc>
              <w:tc>
                <w:tcPr>
                  <w:tcW w:w="334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rPr>
                      <w:rFonts w:hint="eastAsia" w:eastAsia="宋体"/>
                      <w:lang w:eastAsia="zh-CN"/>
                    </w:rPr>
                  </w:pPr>
                  <w:r>
                    <w:t>许可范围内的工业废物（含资质范围内危险废物）的处置及综合利用</w:t>
                  </w:r>
                </w:p>
              </w:tc>
              <w:tc>
                <w:tcPr>
                  <w:tcW w:w="3340" w:type="dxa"/>
                </w:tcPr>
                <w:p>
                  <w:pPr>
                    <w:shd w:val="clear" w:color="auto" w:fill="C7DAF1" w:themeFill="text2" w:themeFillTint="32"/>
                    <w:jc w:val="left"/>
                    <w:rPr>
                      <w:u w:val="none"/>
                    </w:rPr>
                  </w:pPr>
                  <w:r>
                    <w:rPr>
                      <w:rFonts w:hint="eastAsia"/>
                      <w:highlight w:val="none"/>
                      <w:u w:val="none"/>
                    </w:rPr>
                    <w:t>取样分析、配料</w:t>
                  </w:r>
                  <w:r>
                    <w:rPr>
                      <w:rFonts w:hint="eastAsia"/>
                      <w:highlight w:val="none"/>
                      <w:u w:val="none"/>
                      <w:lang w:eastAsia="zh-CN"/>
                    </w:rPr>
                    <w:t>、</w:t>
                  </w:r>
                  <w:r>
                    <w:rPr>
                      <w:rFonts w:hint="eastAsia"/>
                      <w:highlight w:val="none"/>
                      <w:u w:val="none"/>
                      <w:lang w:val="en-US" w:eastAsia="zh-CN"/>
                    </w:rPr>
                    <w:t>熔炼</w:t>
                  </w:r>
                </w:p>
              </w:tc>
              <w:tc>
                <w:tcPr>
                  <w:tcW w:w="3265" w:type="dxa"/>
                </w:tcPr>
                <w:p>
                  <w:pPr>
                    <w:shd w:val="clear" w:color="auto" w:fill="C7DAF1" w:themeFill="text2" w:themeFillTint="32"/>
                    <w:jc w:val="left"/>
                    <w:rPr>
                      <w:u w:val="none"/>
                    </w:rPr>
                  </w:pPr>
                  <w:r>
                    <w:rPr>
                      <w:rFonts w:hint="eastAsia"/>
                      <w:color w:val="000000"/>
                      <w:u w:val="none"/>
                    </w:rPr>
                    <w:t xml:space="preserve"> </w:t>
                  </w:r>
                  <w:r>
                    <w:rPr>
                      <w:rFonts w:hint="eastAsia"/>
                      <w:color w:val="000000"/>
                      <w:highlight w:val="none"/>
                      <w:u w:val="none"/>
                    </w:rPr>
                    <w:t>金属、水分、硫成分含量</w:t>
                  </w:r>
                  <w:r>
                    <w:rPr>
                      <w:rFonts w:hint="eastAsia"/>
                      <w:color w:val="000000"/>
                      <w:highlight w:val="none"/>
                      <w:u w:val="none"/>
                      <w:lang w:val="en-US" w:eastAsia="zh-CN"/>
                    </w:rPr>
                    <w:t>；温度、炉内还原性气氛等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p>
              </w:tc>
              <w:tc>
                <w:tcPr>
                  <w:tcW w:w="3340"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shd w:val="clear" w:color="auto" w:fill="C7DAF1" w:themeFill="text2" w:themeFillTint="32"/>
                    <w:jc w:val="left"/>
                  </w:pPr>
                </w:p>
              </w:tc>
              <w:tc>
                <w:tcPr>
                  <w:tcW w:w="334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highlight w:val="none"/>
                <w:u w:val="none"/>
                <w:lang w:val="en-US" w:eastAsia="zh-CN"/>
              </w:rPr>
              <w:t>熔炼</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zh-CN"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OHSM</w:t>
            </w:r>
            <w:r>
              <w:rPr>
                <w:rFonts w:hint="eastAsia"/>
              </w:rPr>
              <w:t>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w:t>
                  </w:r>
                  <w:r>
                    <w:rPr>
                      <w:rFonts w:hint="eastAsia"/>
                      <w:lang w:eastAsia="zh-CN"/>
                    </w:rPr>
                    <w:t>■</w:t>
                  </w:r>
                  <w:r>
                    <w:rPr>
                      <w:rFonts w:hint="eastAsia"/>
                    </w:rPr>
                    <w:t>文化□知识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科学规范、敢于领先、达到顾客满意；节能降耗、污染预防、净化生存环境； 以人为本、确保安全、降低职业风险</w:t>
            </w:r>
            <w:r>
              <w:rPr>
                <w:rFonts w:hint="eastAsia" w:ascii="Times New Roman" w:hAnsi="Times New Roman" w:eastAsia="宋体" w:cs="Times New Roman"/>
                <w:color w:val="000000"/>
                <w:szCs w:val="18"/>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val="en-US" w:eastAsia="zh-CN"/>
              </w:rPr>
              <w:t>人力行政</w:t>
            </w:r>
            <w:r>
              <w:rPr>
                <w:rFonts w:hint="eastAsia"/>
                <w:lang w:eastAsia="zh-CN"/>
              </w:rPr>
              <w:t>部</w:t>
            </w:r>
          </w:p>
          <w:p>
            <w:pPr>
              <w:rPr>
                <w:rFonts w:hint="eastAsia" w:eastAsia="宋体"/>
                <w:lang w:eastAsia="zh-CN"/>
              </w:rPr>
            </w:pPr>
            <w:r>
              <w:rPr>
                <w:rFonts w:hint="eastAsia"/>
              </w:rPr>
              <w:t>安全的主管部门是——</w:t>
            </w:r>
            <w:r>
              <w:rPr>
                <w:rFonts w:hint="eastAsia"/>
                <w:lang w:eastAsia="zh-CN"/>
              </w:rPr>
              <w:t>生产</w:t>
            </w:r>
            <w:r>
              <w:rPr>
                <w:rFonts w:hint="eastAsia"/>
                <w:lang w:val="en-US" w:eastAsia="zh-CN"/>
              </w:rPr>
              <w:t>技术</w:t>
            </w:r>
            <w:r>
              <w:rPr>
                <w:rFonts w:hint="eastAsia"/>
                <w:lang w:eastAsia="zh-CN"/>
              </w:rPr>
              <w:t>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446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r>
                    <w:rPr>
                      <w:rFonts w:hint="eastAsia"/>
                    </w:rPr>
                    <w:t>主要的风险或机遇描述</w:t>
                  </w:r>
                </w:p>
              </w:tc>
              <w:tc>
                <w:tcPr>
                  <w:tcW w:w="4467"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eastAsia="zh-CN"/>
                    </w:rPr>
                    <w:t>、</w:t>
                  </w:r>
                  <w:r>
                    <w:rPr>
                      <w:rFonts w:hint="eastAsia" w:ascii="宋体" w:hAnsi="宋体"/>
                      <w:b w:val="0"/>
                      <w:bCs w:val="0"/>
                      <w:color w:val="000000"/>
                      <w:sz w:val="21"/>
                      <w:szCs w:val="21"/>
                      <w:lang w:val="en-US" w:eastAsia="zh-CN"/>
                    </w:rPr>
                    <w:t>爆炸</w:t>
                  </w:r>
                </w:p>
              </w:tc>
              <w:tc>
                <w:tcPr>
                  <w:tcW w:w="4467"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rPr>
                      <w:rFonts w:hint="eastAsia" w:eastAsia="宋体"/>
                      <w:lang w:eastAsia="zh-CN"/>
                    </w:rPr>
                  </w:pPr>
                  <w:r>
                    <w:rPr>
                      <w:rFonts w:hint="eastAsia"/>
                      <w:lang w:eastAsia="zh-CN"/>
                    </w:rPr>
                    <w:t>职业病</w:t>
                  </w:r>
                </w:p>
              </w:tc>
              <w:tc>
                <w:tcPr>
                  <w:tcW w:w="4467"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tcPr>
                <w:p>
                  <w:pPr>
                    <w:rPr>
                      <w:rFonts w:hint="eastAsia" w:eastAsia="宋体"/>
                      <w:lang w:eastAsia="zh-CN"/>
                    </w:rPr>
                  </w:pPr>
                  <w:r>
                    <w:rPr>
                      <w:rFonts w:hint="eastAsia"/>
                      <w:lang w:eastAsia="zh-CN"/>
                    </w:rPr>
                    <w:t>意外伤害（化学品泄露、机械伤害、烫伤等）</w:t>
                  </w:r>
                </w:p>
              </w:tc>
              <w:tc>
                <w:tcPr>
                  <w:tcW w:w="4467"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机械伤害</w:t>
            </w:r>
            <w:r>
              <w:rPr>
                <w:rFonts w:hint="eastAsia"/>
                <w:lang w:eastAsia="zh-CN"/>
              </w:rPr>
              <w:t>□</w:t>
            </w:r>
            <w:r>
              <w:rPr>
                <w:rFonts w:hint="eastAsia"/>
              </w:rPr>
              <w:t>触电</w:t>
            </w:r>
            <w:r>
              <w:rPr>
                <w:rFonts w:hint="eastAsia"/>
                <w:lang w:eastAsia="zh-CN"/>
              </w:rPr>
              <w:t>■</w:t>
            </w:r>
            <w:r>
              <w:rPr>
                <w:rFonts w:hint="eastAsia"/>
              </w:rPr>
              <w:t>化学伤害</w:t>
            </w:r>
            <w:r>
              <w:rPr>
                <w:rFonts w:hint="eastAsia"/>
                <w:lang w:eastAsia="zh-CN"/>
              </w:rPr>
              <w:t>■</w:t>
            </w:r>
            <w:r>
              <w:rPr>
                <w:rFonts w:hint="eastAsia"/>
              </w:rPr>
              <w:t>噪声</w:t>
            </w:r>
            <w:r>
              <w:rPr>
                <w:rFonts w:hint="eastAsia"/>
                <w:lang w:eastAsia="zh-CN"/>
              </w:rPr>
              <w:t>■</w:t>
            </w:r>
            <w:r>
              <w:rPr>
                <w:rFonts w:hint="eastAsia"/>
              </w:rPr>
              <w:t>粉尘□危险作业</w:t>
            </w:r>
            <w:r>
              <w:rPr>
                <w:rFonts w:hint="eastAsia"/>
                <w:lang w:eastAsia="zh-CN"/>
              </w:rPr>
              <w:t>■</w:t>
            </w:r>
            <w:r>
              <w:rPr>
                <w:rFonts w:hint="eastAsia"/>
              </w:rPr>
              <w:t>高低温□危化品泄露</w:t>
            </w:r>
            <w:r>
              <w:rPr>
                <w:rFonts w:hint="eastAsia"/>
                <w:lang w:eastAsia="zh-CN"/>
              </w:rPr>
              <w:t>■</w:t>
            </w:r>
            <w:r>
              <w:rPr>
                <w:rFonts w:hint="eastAsia"/>
              </w:rPr>
              <w:t>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color w:val="000000"/>
                <w:szCs w:val="18"/>
                <w:lang w:val="en-US" w:eastAsia="zh-CN"/>
              </w:rPr>
            </w:pPr>
            <w:r>
              <w:rPr>
                <w:rFonts w:hint="eastAsia"/>
                <w:lang w:eastAsia="zh-CN"/>
              </w:rPr>
              <w:t>■</w:t>
            </w:r>
            <w:r>
              <w:rPr>
                <w:rFonts w:hint="eastAsia"/>
              </w:rPr>
              <w:t>职业病体检报告书日期：</w:t>
            </w:r>
            <w:r>
              <w:rPr>
                <w:rFonts w:hint="eastAsia"/>
                <w:color w:val="000000"/>
                <w:szCs w:val="18"/>
                <w:lang w:val="en-US" w:eastAsia="zh-CN"/>
              </w:rPr>
              <w:t>提供2022年6月至8月新员工入职健康体检表。</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w:t>
            </w: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eastAsia="zh-CN"/>
                    </w:rPr>
                    <w:t>火灾事故发生率为0</w:t>
                  </w:r>
                </w:p>
              </w:tc>
              <w:tc>
                <w:tcPr>
                  <w:tcW w:w="3136" w:type="dxa"/>
                  <w:shd w:val="clear" w:color="auto" w:fill="auto"/>
                  <w:vAlign w:val="top"/>
                </w:tcPr>
                <w:p>
                  <w:pPr>
                    <w:rPr>
                      <w:rFonts w:ascii="Times New Roman" w:hAnsi="Times New Roman"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lang w:val="en-US" w:eastAsia="zh-CN"/>
                    </w:rPr>
                  </w:pPr>
                  <w:r>
                    <w:rPr>
                      <w:rFonts w:hint="eastAsia"/>
                      <w:lang w:val="en-US" w:eastAsia="zh-CN"/>
                    </w:rPr>
                    <w:t>公司各</w:t>
                  </w:r>
                  <w:r>
                    <w:rPr>
                      <w:rFonts w:hint="eastAsia"/>
                      <w:lang w:val="en-GB" w:eastAsia="zh-CN"/>
                    </w:rPr>
                    <w:t>部</w:t>
                  </w:r>
                  <w:r>
                    <w:rPr>
                      <w:rFonts w:hint="eastAsia"/>
                      <w:lang w:val="en-US" w:eastAsia="zh-CN"/>
                    </w:rPr>
                    <w:t>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eastAsia="zh-CN"/>
                    </w:rPr>
                    <w:t>死亡事故发生率为0</w:t>
                  </w:r>
                </w:p>
              </w:tc>
              <w:tc>
                <w:tcPr>
                  <w:tcW w:w="3136"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eastAsia" w:ascii="宋体" w:hAnsi="宋体" w:eastAsia="宋体"/>
                      <w:lang w:eastAsia="zh-CN"/>
                    </w:rPr>
                  </w:pPr>
                  <w:r>
                    <w:rPr>
                      <w:rFonts w:hint="eastAsia"/>
                      <w:lang w:val="en-US" w:eastAsia="zh-CN"/>
                    </w:rPr>
                    <w:t>公司各</w:t>
                  </w:r>
                  <w:r>
                    <w:rPr>
                      <w:rFonts w:hint="eastAsia"/>
                      <w:lang w:val="en-GB" w:eastAsia="zh-CN"/>
                    </w:rPr>
                    <w:t>部</w:t>
                  </w:r>
                  <w:r>
                    <w:rPr>
                      <w:rFonts w:hint="eastAsia"/>
                      <w:lang w:val="en-US" w:eastAsia="zh-CN"/>
                    </w:rPr>
                    <w:t>门</w:t>
                  </w:r>
                </w:p>
              </w:tc>
              <w:tc>
                <w:tcPr>
                  <w:tcW w:w="1774" w:type="dxa"/>
                  <w:shd w:val="clear" w:color="auto" w:fill="auto"/>
                  <w:vAlign w:val="center"/>
                </w:tcPr>
                <w:p>
                  <w:pPr>
                    <w:jc w:val="center"/>
                    <w:rPr>
                      <w:rFonts w:ascii="宋体" w:hAnsi="宋体"/>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hint="eastAsia" w:ascii="宋体" w:hAnsi="宋体" w:eastAsia="宋体"/>
                      <w:lang w:eastAsia="zh-CN"/>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u w:val="none"/>
              </w:rPr>
            </w:pPr>
            <w:r>
              <w:rPr>
                <w:rFonts w:hint="eastAsia" w:ascii="Times New Roman" w:hAnsi="Times New Roman" w:eastAsia="宋体" w:cs="Times New Roman"/>
                <w:u w:val="none"/>
                <w:lang w:val="en-US" w:eastAsia="zh-CN"/>
              </w:rPr>
              <w:t>办公</w:t>
            </w:r>
            <w:r>
              <w:rPr>
                <w:rFonts w:hint="eastAsia" w:ascii="Times New Roman" w:hAnsi="Times New Roman" w:eastAsia="宋体" w:cs="Times New Roman"/>
                <w:u w:val="none"/>
                <w:lang w:eastAsia="zh-CN"/>
              </w:rPr>
              <w:t>面积</w:t>
            </w:r>
            <w:r>
              <w:rPr>
                <w:rFonts w:hint="eastAsia" w:ascii="Times New Roman" w:hAnsi="Times New Roman" w:eastAsia="宋体" w:cs="Times New Roman"/>
                <w:u w:val="none"/>
                <w:lang w:val="en-US" w:eastAsia="zh-CN"/>
              </w:rPr>
              <w:t>2000</w:t>
            </w:r>
            <w:r>
              <w:rPr>
                <w:rFonts w:hint="eastAsia" w:ascii="Times New Roman" w:hAnsi="Times New Roman" w:eastAsia="宋体" w:cs="Times New Roman"/>
                <w:u w:val="none"/>
                <w:lang w:eastAsia="zh-CN"/>
              </w:rPr>
              <w:t>平方米；生产车间</w:t>
            </w:r>
            <w:r>
              <w:rPr>
                <w:rFonts w:hint="eastAsia" w:ascii="Times New Roman" w:hAnsi="Times New Roman" w:eastAsia="宋体" w:cs="Times New Roman"/>
                <w:u w:val="none"/>
                <w:lang w:val="en-US" w:eastAsia="zh-CN"/>
              </w:rPr>
              <w:t>面积35000平方米</w:t>
            </w:r>
            <w:r>
              <w:rPr>
                <w:rFonts w:hint="eastAsia" w:ascii="Times New Roman" w:hAnsi="Times New Roman" w:eastAsia="宋体" w:cs="Times New Roman"/>
                <w:u w:val="none"/>
                <w:lang w:eastAsia="zh-CN"/>
              </w:rPr>
              <w:t>；库房1个；实验室</w:t>
            </w:r>
            <w:r>
              <w:rPr>
                <w:rFonts w:hint="eastAsia" w:ascii="Times New Roman" w:hAnsi="Times New Roman" w:eastAsia="宋体" w:cs="Times New Roman"/>
                <w:u w:val="none"/>
                <w:lang w:val="en-US" w:eastAsia="zh-CN"/>
              </w:rPr>
              <w:t>1</w:t>
            </w:r>
            <w:r>
              <w:rPr>
                <w:rFonts w:hint="eastAsia" w:ascii="Times New Roman" w:hAnsi="Times New Roman" w:eastAsia="宋体" w:cs="Times New Roman"/>
                <w:u w:val="none"/>
                <w:lang w:eastAsia="zh-CN"/>
              </w:rPr>
              <w:t>个</w:t>
            </w:r>
            <w:r>
              <w:rPr>
                <w:rFonts w:hint="eastAsia" w:ascii="Times New Roman" w:hAnsi="Times New Roman" w:eastAsia="宋体" w:cs="Times New Roman"/>
                <w:u w:val="none"/>
              </w:rPr>
              <w:t>；</w:t>
            </w:r>
          </w:p>
          <w:p>
            <w:pPr>
              <w:rPr>
                <w:rFonts w:hint="eastAsia" w:ascii="Times New Roman" w:hAnsi="Times New Roman" w:eastAsia="宋体" w:cs="Times New Roman"/>
                <w:u w:val="none"/>
              </w:rPr>
            </w:pPr>
            <w:r>
              <w:rPr>
                <w:rFonts w:hint="eastAsia" w:ascii="Times New Roman" w:hAnsi="Times New Roman" w:eastAsia="宋体" w:cs="Times New Roman"/>
                <w:u w:val="none"/>
              </w:rPr>
              <w:t>主要生产设备有：</w:t>
            </w:r>
            <w:r>
              <w:rPr>
                <w:rFonts w:hint="eastAsia"/>
                <w:color w:val="000000"/>
                <w:szCs w:val="21"/>
                <w:u w:val="none"/>
                <w:lang w:val="en-US" w:eastAsia="zh-CN"/>
              </w:rPr>
              <w:t>污泥低温烘干机</w:t>
            </w:r>
            <w:r>
              <w:rPr>
                <w:rFonts w:hint="eastAsia"/>
                <w:color w:val="000000"/>
                <w:szCs w:val="21"/>
                <w:u w:val="none"/>
                <w:lang w:eastAsia="zh-CN"/>
              </w:rPr>
              <w:t>、</w:t>
            </w:r>
            <w:r>
              <w:rPr>
                <w:rFonts w:hint="eastAsia"/>
                <w:color w:val="000000"/>
                <w:szCs w:val="21"/>
                <w:u w:val="none"/>
                <w:lang w:val="en-US" w:eastAsia="zh-CN"/>
              </w:rPr>
              <w:t>富氧侧吹熔炼炉</w:t>
            </w:r>
            <w:r>
              <w:rPr>
                <w:rFonts w:hint="eastAsia"/>
                <w:color w:val="000000"/>
                <w:szCs w:val="21"/>
                <w:u w:val="none"/>
                <w:lang w:eastAsia="zh-CN"/>
              </w:rPr>
              <w:t>、</w:t>
            </w:r>
            <w:r>
              <w:rPr>
                <w:rFonts w:hint="eastAsia"/>
                <w:color w:val="000000"/>
                <w:szCs w:val="21"/>
                <w:u w:val="none"/>
                <w:lang w:val="en-US" w:eastAsia="zh-CN"/>
              </w:rPr>
              <w:t>辅助熔池</w:t>
            </w:r>
            <w:r>
              <w:rPr>
                <w:rFonts w:hint="eastAsia"/>
                <w:color w:val="000000"/>
                <w:szCs w:val="21"/>
                <w:u w:val="none"/>
                <w:lang w:eastAsia="zh-CN"/>
              </w:rPr>
              <w:t>、</w:t>
            </w:r>
            <w:r>
              <w:rPr>
                <w:rFonts w:hint="eastAsia"/>
                <w:color w:val="000000"/>
                <w:szCs w:val="21"/>
                <w:u w:val="none"/>
                <w:lang w:val="en-US" w:eastAsia="zh-CN"/>
              </w:rPr>
              <w:t>余热锅炉</w:t>
            </w:r>
            <w:r>
              <w:rPr>
                <w:rFonts w:hint="eastAsia"/>
                <w:color w:val="000000"/>
                <w:szCs w:val="21"/>
                <w:u w:val="none"/>
                <w:lang w:eastAsia="zh-CN"/>
              </w:rPr>
              <w:t>、</w:t>
            </w:r>
            <w:r>
              <w:rPr>
                <w:rFonts w:hint="eastAsia"/>
                <w:color w:val="000000"/>
                <w:szCs w:val="21"/>
                <w:u w:val="none"/>
                <w:lang w:val="en-US" w:eastAsia="zh-CN"/>
              </w:rPr>
              <w:t>SNCR脱硝系统</w:t>
            </w:r>
            <w:r>
              <w:rPr>
                <w:rFonts w:hint="eastAsia"/>
                <w:color w:val="000000"/>
                <w:szCs w:val="21"/>
                <w:u w:val="none"/>
                <w:lang w:eastAsia="zh-CN"/>
              </w:rPr>
              <w:t>、</w:t>
            </w:r>
            <w:r>
              <w:rPr>
                <w:rFonts w:hint="eastAsia"/>
                <w:color w:val="000000"/>
                <w:szCs w:val="21"/>
                <w:u w:val="none"/>
                <w:lang w:val="en-US" w:eastAsia="zh-CN"/>
              </w:rPr>
              <w:t>熔炼烟气除尘器、脱硫吸收塔、脱硫除雾塔等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rPr>
                <w:rFonts w:hint="eastAsia"/>
              </w:rPr>
            </w:pPr>
            <w:r>
              <w:rPr>
                <w:rFonts w:hint="eastAsia"/>
              </w:rPr>
              <w:t>职业健康安全监测的计量器具有：</w:t>
            </w:r>
          </w:p>
          <w:p>
            <w:r>
              <w:rPr>
                <w:rFonts w:hint="eastAsia"/>
                <w:lang w:eastAsia="zh-CN"/>
              </w:rPr>
              <w:t>■</w:t>
            </w:r>
            <w:r>
              <w:rPr>
                <w:rFonts w:hint="eastAsia"/>
                <w:lang w:val="en-US" w:eastAsia="zh-CN"/>
              </w:rPr>
              <w:t>安全阀</w:t>
            </w:r>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pPr>
              <w:rPr>
                <w:rFonts w:hint="eastAsia" w:ascii="Times New Roman" w:hAnsi="Times New Roman" w:eastAsia="宋体" w:cs="Times New Roman"/>
              </w:rPr>
            </w:pPr>
            <w:r>
              <w:rPr>
                <w:rFonts w:hint="eastAsia" w:ascii="Times New Roman" w:hAnsi="Times New Roman" w:eastAsia="宋体" w:cs="Times New Roman"/>
              </w:rPr>
              <w:t>特种作业人员：</w:t>
            </w:r>
            <w:r>
              <w:rPr>
                <w:rFonts w:hint="eastAsia" w:ascii="Times New Roman" w:hAnsi="Times New Roman" w:eastAsia="宋体" w:cs="Times New Roman"/>
                <w:lang w:eastAsia="zh-CN"/>
              </w:rPr>
              <w:t>■</w:t>
            </w:r>
            <w:r>
              <w:rPr>
                <w:rFonts w:hint="eastAsia" w:ascii="Times New Roman" w:hAnsi="Times New Roman" w:eastAsia="宋体" w:cs="Times New Roman"/>
              </w:rPr>
              <w:t>电工</w:t>
            </w:r>
            <w:r>
              <w:rPr>
                <w:rFonts w:hint="eastAsia" w:ascii="Times New Roman" w:hAnsi="Times New Roman" w:eastAsia="宋体" w:cs="Times New Roman"/>
                <w:lang w:eastAsia="zh-CN"/>
              </w:rPr>
              <w:t>■</w:t>
            </w:r>
            <w:r>
              <w:rPr>
                <w:rFonts w:hint="eastAsia" w:ascii="Times New Roman" w:hAnsi="Times New Roman" w:eastAsia="宋体" w:cs="Times New Roman"/>
              </w:rPr>
              <w:t>焊工</w:t>
            </w:r>
            <w:r>
              <w:rPr>
                <w:rFonts w:hint="eastAsia" w:ascii="Times New Roman" w:hAnsi="Times New Roman" w:eastAsia="宋体" w:cs="Times New Roman"/>
                <w:lang w:eastAsia="zh-CN"/>
              </w:rPr>
              <w:t>□</w:t>
            </w:r>
            <w:r>
              <w:rPr>
                <w:rFonts w:hint="eastAsia" w:ascii="Times New Roman" w:hAnsi="Times New Roman" w:eastAsia="宋体" w:cs="Times New Roman"/>
              </w:rPr>
              <w:t>危化品作业</w:t>
            </w:r>
            <w:r>
              <w:rPr>
                <w:rFonts w:hint="eastAsia" w:ascii="Times New Roman" w:hAnsi="Times New Roman" w:eastAsia="宋体" w:cs="Times New Roman"/>
                <w:lang w:eastAsia="zh-CN"/>
              </w:rPr>
              <w:t>□</w:t>
            </w:r>
            <w:r>
              <w:rPr>
                <w:rFonts w:hint="eastAsia" w:ascii="Times New Roman" w:hAnsi="Times New Roman" w:eastAsia="宋体" w:cs="Times New Roman"/>
              </w:rPr>
              <w:t>制冷工</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r>
              <w:rPr>
                <w:rFonts w:hint="eastAsia" w:ascii="Times New Roman" w:hAnsi="Times New Roman" w:eastAsia="宋体" w:cs="Times New Roman"/>
              </w:rPr>
              <w:t>特种设备作业人员：</w:t>
            </w:r>
            <w:r>
              <w:rPr>
                <w:rFonts w:hint="eastAsia" w:ascii="Times New Roman" w:hAnsi="Times New Roman" w:eastAsia="宋体" w:cs="Times New Roman"/>
                <w:lang w:eastAsia="zh-CN"/>
              </w:rPr>
              <w:t>■</w:t>
            </w:r>
            <w:r>
              <w:rPr>
                <w:rFonts w:hint="eastAsia" w:ascii="Times New Roman" w:hAnsi="Times New Roman" w:eastAsia="宋体" w:cs="Times New Roman"/>
              </w:rPr>
              <w:t>叉车工</w:t>
            </w:r>
            <w:r>
              <w:rPr>
                <w:rFonts w:hint="eastAsia" w:ascii="Times New Roman" w:hAnsi="Times New Roman" w:eastAsia="宋体" w:cs="Times New Roman"/>
                <w:lang w:eastAsia="zh-CN"/>
              </w:rPr>
              <w:t>■</w:t>
            </w:r>
            <w:r>
              <w:rPr>
                <w:rFonts w:hint="eastAsia" w:ascii="Times New Roman" w:hAnsi="Times New Roman" w:eastAsia="宋体" w:cs="Times New Roman"/>
              </w:rPr>
              <w:t>行车工</w:t>
            </w:r>
            <w:r>
              <w:rPr>
                <w:rFonts w:hint="eastAsia" w:ascii="Times New Roman" w:hAnsi="Times New Roman" w:eastAsia="宋体" w:cs="Times New Roman"/>
                <w:lang w:eastAsia="zh-CN"/>
              </w:rPr>
              <w:t>■</w:t>
            </w:r>
            <w:r>
              <w:rPr>
                <w:rFonts w:hint="eastAsia" w:ascii="Times New Roman" w:hAnsi="Times New Roman" w:eastAsia="宋体" w:cs="Times New Roman"/>
              </w:rPr>
              <w:t>锅炉工</w:t>
            </w:r>
            <w:r>
              <w:rPr>
                <w:rFonts w:hint="eastAsia" w:ascii="Times New Roman" w:hAnsi="Times New Roman" w:eastAsia="宋体" w:cs="Times New Roman"/>
                <w:lang w:eastAsia="zh-CN"/>
              </w:rPr>
              <w:t>□</w:t>
            </w:r>
            <w:r>
              <w:rPr>
                <w:rFonts w:hint="eastAsia" w:ascii="Times New Roman" w:hAnsi="Times New Roman" w:eastAsia="宋体" w:cs="Times New Roman"/>
              </w:rPr>
              <w:t>压力容器</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w:t>
                  </w:r>
                  <w:r>
                    <w:rPr>
                      <w:rFonts w:hint="eastAsia"/>
                      <w:lang w:eastAsia="zh-CN"/>
                    </w:rPr>
                    <w:t>■</w:t>
                  </w:r>
                  <w:r>
                    <w:rPr>
                      <w:rFonts w:hint="eastAsia"/>
                    </w:rPr>
                    <w:t>穿戴劳保用品（防尘面罩）</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定期检测□压力巡视</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lang w:eastAsia="zh-CN"/>
                    </w:rPr>
                    <w:t>■</w:t>
                  </w:r>
                  <w:r>
                    <w:rPr>
                      <w:rFonts w:hint="eastAsia"/>
                    </w:rPr>
                    <w:t>防暑降温用品</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default" w:eastAsia="宋体"/>
                <w:lang w:val="en-US" w:eastAsia="zh-CN"/>
              </w:rPr>
            </w:pPr>
            <w:r>
              <w:rPr>
                <w:rFonts w:hint="eastAsia"/>
              </w:rPr>
              <w:t>特种设备检测报告，如：</w:t>
            </w:r>
            <w:r>
              <w:rPr>
                <w:rFonts w:hint="eastAsia"/>
                <w:lang w:val="en-US" w:eastAsia="zh-CN"/>
              </w:rPr>
              <w:t>叉车、报告编号：5110-500223-2021112-51147。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日进行了</w:t>
            </w:r>
            <w:r>
              <w:rPr>
                <w:rFonts w:hint="eastAsia"/>
                <w:lang w:val="en-US" w:eastAsia="zh-CN"/>
              </w:rPr>
              <w:t>消防安全</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r>
              <w:rPr>
                <w:rFonts w:hint="eastAsia"/>
                <w:color w:val="000000"/>
                <w:szCs w:val="18"/>
                <w:lang w:val="en-US" w:eastAsia="zh-CN"/>
              </w:rPr>
              <w:t>提供2022年4月至8月新员工入职健康体检表。</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日实施了职业健康安全管理体系内部审核，对职业健康安全管理体系的符合性和有效性进行了审核。内审发现</w:t>
            </w:r>
            <w:r>
              <w:rPr>
                <w:rFonts w:hint="eastAsia"/>
                <w:highlight w:val="none"/>
              </w:rPr>
              <w:t>的</w:t>
            </w:r>
            <w:r>
              <w:rPr>
                <w:rFonts w:hint="eastAsia"/>
                <w:highlight w:val="none"/>
                <w:lang w:val="en-US" w:eastAsia="zh-CN"/>
              </w:rPr>
              <w:t>1</w:t>
            </w:r>
            <w:r>
              <w:rPr>
                <w:rFonts w:hint="eastAsia"/>
                <w:highlight w:val="none"/>
              </w:rPr>
              <w:t>项</w:t>
            </w:r>
            <w:r>
              <w:rPr>
                <w:rFonts w:hint="eastAsia"/>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bookmarkStart w:id="34" w:name="_GoBack"/>
            <w:r>
              <w:rPr>
                <w:rFonts w:hint="eastAsia" w:ascii="Wingdings" w:hAnsi="Wingdings"/>
                <w:lang w:eastAsia="zh-CN"/>
              </w:rPr>
              <w:t>□</w:t>
            </w:r>
            <w:bookmarkEnd w:id="34"/>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rFonts w:hint="default" w:eastAsia="宋体"/>
                <w:highlight w:val="green"/>
                <w:lang w:val="en-US" w:eastAsia="zh-CN"/>
              </w:rPr>
            </w:pPr>
          </w:p>
        </w:tc>
        <w:tc>
          <w:tcPr>
            <w:tcW w:w="769" w:type="dxa"/>
            <w:shd w:val="clear" w:color="auto" w:fill="F2DCDC" w:themeFill="accent2" w:themeFillTint="32"/>
            <w:vAlign w:val="center"/>
          </w:tcPr>
          <w:p>
            <w:pP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51840C8"/>
    <w:rsid w:val="07293490"/>
    <w:rsid w:val="12BF0270"/>
    <w:rsid w:val="187A71A4"/>
    <w:rsid w:val="1DA31B8C"/>
    <w:rsid w:val="2C7C3D7E"/>
    <w:rsid w:val="41A339E2"/>
    <w:rsid w:val="598F1597"/>
    <w:rsid w:val="61A44D62"/>
    <w:rsid w:val="67E47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14843</Words>
  <Characters>15724</Characters>
  <Lines>150</Lines>
  <Paragraphs>42</Paragraphs>
  <TotalTime>36</TotalTime>
  <ScaleCrop>false</ScaleCrop>
  <LinksUpToDate>false</LinksUpToDate>
  <CharactersWithSpaces>15824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2022-08-09T06:28:08Z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