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960"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0004" w:type="dxa"/>
            <w:vAlign w:val="center"/>
          </w:tcPr>
          <w:p>
            <w:pPr>
              <w:rPr>
                <w:rFonts w:hint="default" w:ascii="等线" w:hAnsi="等线" w:eastAsia="等线" w:cs="等线"/>
                <w:sz w:val="21"/>
                <w:szCs w:val="21"/>
                <w:lang w:val="en-US" w:eastAsia="zh-CN"/>
              </w:rPr>
            </w:pPr>
            <w:r>
              <w:rPr>
                <w:rFonts w:hint="eastAsia" w:ascii="等线" w:hAnsi="等线" w:eastAsia="等线" w:cs="等线"/>
                <w:sz w:val="21"/>
                <w:szCs w:val="21"/>
              </w:rPr>
              <w:t>受审核部门：生产部 主管领导：</w:t>
            </w:r>
            <w:r>
              <w:rPr>
                <w:rFonts w:hint="eastAsia" w:ascii="等线" w:hAnsi="等线" w:eastAsia="等线" w:cs="等线"/>
                <w:color w:val="auto"/>
                <w:sz w:val="21"/>
                <w:szCs w:val="21"/>
                <w:lang w:val="en-US" w:eastAsia="zh-CN"/>
              </w:rPr>
              <w:t>陈洪勇</w:t>
            </w:r>
            <w:r>
              <w:rPr>
                <w:rFonts w:hint="eastAsia" w:ascii="等线" w:hAnsi="等线" w:eastAsia="等线" w:cs="等线"/>
                <w:color w:val="auto"/>
                <w:sz w:val="21"/>
                <w:szCs w:val="21"/>
              </w:rPr>
              <w:t xml:space="preserve"> </w:t>
            </w:r>
            <w:r>
              <w:rPr>
                <w:rFonts w:hint="eastAsia" w:ascii="等线" w:hAnsi="等线" w:eastAsia="等线" w:cs="等线"/>
                <w:sz w:val="21"/>
                <w:szCs w:val="21"/>
              </w:rPr>
              <w:t xml:space="preserve">    陪同人员：</w:t>
            </w:r>
            <w:r>
              <w:rPr>
                <w:rFonts w:hint="eastAsia" w:ascii="等线" w:hAnsi="等线" w:eastAsia="等线" w:cs="等线"/>
                <w:color w:val="auto"/>
                <w:sz w:val="21"/>
                <w:szCs w:val="21"/>
                <w:lang w:val="en-US" w:eastAsia="zh-CN"/>
              </w:rPr>
              <w:t>湖浙建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等线" w:hAnsi="等线" w:eastAsia="等线" w:cs="等线"/>
                <w:sz w:val="21"/>
                <w:szCs w:val="21"/>
              </w:rPr>
            </w:pPr>
          </w:p>
        </w:tc>
        <w:tc>
          <w:tcPr>
            <w:tcW w:w="960" w:type="dxa"/>
            <w:vMerge w:val="continue"/>
            <w:vAlign w:val="center"/>
          </w:tcPr>
          <w:p>
            <w:pPr>
              <w:rPr>
                <w:rFonts w:hint="eastAsia" w:ascii="等线" w:hAnsi="等线" w:eastAsia="等线" w:cs="等线"/>
                <w:sz w:val="21"/>
                <w:szCs w:val="21"/>
              </w:rPr>
            </w:pPr>
          </w:p>
        </w:tc>
        <w:tc>
          <w:tcPr>
            <w:tcW w:w="10004" w:type="dxa"/>
            <w:vAlign w:val="center"/>
          </w:tcPr>
          <w:p>
            <w:pPr>
              <w:spacing w:line="240" w:lineRule="exact"/>
              <w:rPr>
                <w:rFonts w:hint="default" w:ascii="等线" w:hAnsi="等线" w:eastAsia="等线" w:cs="等线"/>
                <w:sz w:val="21"/>
                <w:szCs w:val="21"/>
                <w:lang w:val="en-US"/>
              </w:rPr>
            </w:pPr>
            <w:r>
              <w:rPr>
                <w:rFonts w:hint="eastAsia" w:ascii="等线" w:hAnsi="等线" w:eastAsia="等线" w:cs="等线"/>
                <w:sz w:val="21"/>
                <w:szCs w:val="21"/>
              </w:rPr>
              <w:t>审核员：</w:t>
            </w:r>
            <w:r>
              <w:rPr>
                <w:rFonts w:hint="eastAsia" w:ascii="等线" w:hAnsi="等线" w:eastAsia="等线" w:cs="等线"/>
                <w:sz w:val="21"/>
                <w:szCs w:val="21"/>
                <w:lang w:val="en-US" w:eastAsia="zh-CN"/>
              </w:rPr>
              <w:t xml:space="preserve">林兵 方断欣 </w:t>
            </w:r>
            <w:r>
              <w:rPr>
                <w:rFonts w:hint="eastAsia" w:ascii="等线" w:hAnsi="等线" w:eastAsia="等线" w:cs="等线"/>
                <w:sz w:val="21"/>
                <w:szCs w:val="21"/>
              </w:rPr>
              <w:t xml:space="preserve"> 审核时间：202</w:t>
            </w:r>
            <w:r>
              <w:rPr>
                <w:rFonts w:hint="eastAsia" w:ascii="等线" w:hAnsi="等线" w:eastAsia="等线" w:cs="等线"/>
                <w:sz w:val="21"/>
                <w:szCs w:val="21"/>
                <w:lang w:val="en-US" w:eastAsia="zh-CN"/>
              </w:rPr>
              <w:t>2</w:t>
            </w:r>
            <w:r>
              <w:rPr>
                <w:rFonts w:hint="eastAsia" w:ascii="等线" w:hAnsi="等线" w:eastAsia="等线" w:cs="等线"/>
                <w:sz w:val="21"/>
                <w:szCs w:val="21"/>
              </w:rPr>
              <w:t>年</w:t>
            </w:r>
            <w:r>
              <w:rPr>
                <w:rFonts w:hint="eastAsia" w:ascii="等线" w:hAnsi="等线" w:eastAsia="等线" w:cs="等线"/>
                <w:sz w:val="21"/>
                <w:szCs w:val="21"/>
                <w:lang w:val="en-US" w:eastAsia="zh-CN"/>
              </w:rPr>
              <w:t>1</w:t>
            </w:r>
            <w:r>
              <w:rPr>
                <w:rFonts w:hint="eastAsia" w:ascii="等线" w:hAnsi="等线" w:eastAsia="等线" w:cs="等线"/>
                <w:sz w:val="21"/>
                <w:szCs w:val="21"/>
              </w:rPr>
              <w:t>月</w:t>
            </w:r>
            <w:r>
              <w:rPr>
                <w:rFonts w:hint="eastAsia" w:ascii="等线" w:hAnsi="等线" w:eastAsia="等线" w:cs="等线"/>
                <w:sz w:val="21"/>
                <w:szCs w:val="21"/>
                <w:lang w:val="en-US" w:eastAsia="zh-CN"/>
              </w:rPr>
              <w:t>10</w:t>
            </w:r>
            <w:r>
              <w:rPr>
                <w:rFonts w:hint="eastAsia" w:ascii="等线" w:hAnsi="等线" w:eastAsia="等线" w:cs="等线"/>
                <w:sz w:val="21"/>
                <w:szCs w:val="21"/>
              </w:rPr>
              <w:t>日</w:t>
            </w:r>
            <w:r>
              <w:rPr>
                <w:rFonts w:hint="eastAsia" w:ascii="等线" w:hAnsi="等线" w:eastAsia="等线" w:cs="等线"/>
                <w:sz w:val="21"/>
                <w:szCs w:val="21"/>
                <w:lang w:val="en-US" w:eastAsia="zh-CN"/>
              </w:rPr>
              <w:t xml:space="preserve"> </w:t>
            </w:r>
            <w:r>
              <w:rPr>
                <w:rFonts w:hint="eastAsia" w:ascii="等线" w:hAnsi="等线" w:eastAsia="等线" w:cs="等线"/>
                <w:sz w:val="21"/>
                <w:szCs w:val="21"/>
              </w:rPr>
              <w:t>13:00</w:t>
            </w:r>
            <w:r>
              <w:rPr>
                <w:rFonts w:hint="eastAsia" w:ascii="等线" w:hAnsi="等线" w:eastAsia="等线" w:cs="等线"/>
                <w:sz w:val="21"/>
                <w:szCs w:val="21"/>
                <w:lang w:val="en-US" w:eastAsia="zh-CN"/>
              </w:rPr>
              <w:t>-17:00、11日</w:t>
            </w:r>
            <w:r>
              <w:rPr>
                <w:rFonts w:hint="eastAsia" w:ascii="等线" w:hAnsi="等线" w:eastAsia="等线" w:cs="等线"/>
                <w:sz w:val="21"/>
                <w:szCs w:val="21"/>
              </w:rPr>
              <w:t>08:30</w:t>
            </w:r>
            <w:r>
              <w:rPr>
                <w:rFonts w:hint="eastAsia" w:ascii="等线" w:hAnsi="等线" w:eastAsia="等线" w:cs="等线"/>
                <w:sz w:val="21"/>
                <w:szCs w:val="21"/>
                <w:lang w:val="en-US" w:eastAsia="zh-CN"/>
              </w:rPr>
              <w:t>-12:00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等线" w:hAnsi="等线" w:eastAsia="等线" w:cs="等线"/>
                <w:sz w:val="21"/>
                <w:szCs w:val="21"/>
              </w:rPr>
            </w:pPr>
          </w:p>
        </w:tc>
        <w:tc>
          <w:tcPr>
            <w:tcW w:w="960" w:type="dxa"/>
            <w:vMerge w:val="continue"/>
            <w:vAlign w:val="center"/>
          </w:tcPr>
          <w:p>
            <w:pPr>
              <w:rPr>
                <w:rFonts w:hint="eastAsia" w:ascii="等线" w:hAnsi="等线" w:eastAsia="等线" w:cs="等线"/>
                <w:sz w:val="21"/>
                <w:szCs w:val="21"/>
              </w:rPr>
            </w:pPr>
          </w:p>
        </w:tc>
        <w:tc>
          <w:tcPr>
            <w:tcW w:w="10004" w:type="dxa"/>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审核内容：</w:t>
            </w:r>
          </w:p>
          <w:p>
            <w:pPr>
              <w:spacing w:line="240" w:lineRule="exac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1.部门职责与权限；2.生产过程危险源的辨识与管控；3.目标分解落实情况4.生产过程安全操作准则；5.危险源的消替工管护情况；6.生产过程中的变更，包括人、机、料、法、环等；7.外包方的职业健康安全要求；8.应急准备与响应组织与参与情况（包括消防及特种设备等）；9.不符合及其纠正和纠正措施</w:t>
            </w:r>
          </w:p>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涉及条款：</w:t>
            </w:r>
          </w:p>
          <w:p>
            <w:pPr>
              <w:spacing w:line="240" w:lineRule="exact"/>
              <w:rPr>
                <w:rFonts w:hint="eastAsia" w:ascii="等线" w:hAnsi="等线" w:eastAsia="等线" w:cs="等线"/>
                <w:sz w:val="21"/>
                <w:szCs w:val="21"/>
                <w:lang w:val="en-US" w:eastAsia="zh-CN"/>
              </w:rPr>
            </w:pPr>
            <w:r>
              <w:rPr>
                <w:rFonts w:hint="eastAsia"/>
                <w:sz w:val="21"/>
                <w:szCs w:val="21"/>
                <w:lang w:val="en-US" w:eastAsia="zh-CN"/>
              </w:rPr>
              <w:t>OHSMS：5.3、6.1.2/6.1.4、6.2、8.1.1、8.1.2、8.1.3、8.1.4、8.2、10.2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60" w:type="dxa"/>
          </w:tcPr>
          <w:p>
            <w:pPr>
              <w:bidi w:val="0"/>
              <w:rPr>
                <w:rFonts w:hint="eastAsia"/>
              </w:rPr>
            </w:pPr>
            <w:r>
              <w:rPr>
                <w:rFonts w:hint="eastAsia"/>
              </w:rPr>
              <w:t>组织的岗位、职责和权限</w:t>
            </w:r>
          </w:p>
        </w:tc>
        <w:tc>
          <w:tcPr>
            <w:tcW w:w="960" w:type="dxa"/>
          </w:tcPr>
          <w:p>
            <w:pPr>
              <w:bidi w:val="0"/>
              <w:rPr>
                <w:rFonts w:hint="eastAsia"/>
              </w:rPr>
            </w:pPr>
            <w:r>
              <w:rPr>
                <w:rFonts w:hint="eastAsia"/>
                <w:lang w:eastAsia="zh-CN"/>
              </w:rPr>
              <w:t>O</w:t>
            </w:r>
            <w:r>
              <w:rPr>
                <w:rFonts w:hint="eastAsia"/>
              </w:rPr>
              <w:t xml:space="preserve">5.3 </w:t>
            </w:r>
          </w:p>
        </w:tc>
        <w:tc>
          <w:tcPr>
            <w:tcW w:w="10004" w:type="dxa"/>
          </w:tcPr>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组织</w:t>
            </w:r>
            <w:r>
              <w:rPr>
                <w:rFonts w:hint="eastAsia" w:ascii="等线" w:hAnsi="等线" w:eastAsia="等线" w:cs="等线"/>
                <w:szCs w:val="21"/>
              </w:rPr>
              <w:t>在手册</w:t>
            </w:r>
            <w:r>
              <w:rPr>
                <w:rFonts w:hint="eastAsia" w:ascii="等线" w:hAnsi="等线" w:eastAsia="等线" w:cs="等线"/>
                <w:szCs w:val="21"/>
                <w:lang w:val="en-US" w:eastAsia="zh-CN"/>
              </w:rPr>
              <w:t>和岗位职责</w:t>
            </w:r>
            <w:r>
              <w:rPr>
                <w:rFonts w:hint="eastAsia" w:ascii="等线" w:hAnsi="等线" w:eastAsia="等线" w:cs="等线"/>
                <w:szCs w:val="21"/>
              </w:rPr>
              <w:t>中确定了</w:t>
            </w:r>
            <w:r>
              <w:rPr>
                <w:rFonts w:hint="eastAsia" w:ascii="等线" w:hAnsi="等线" w:eastAsia="等线" w:cs="等线"/>
                <w:szCs w:val="21"/>
                <w:lang w:val="en-US" w:eastAsia="zh-CN"/>
              </w:rPr>
              <w:t>生产部的部门</w:t>
            </w:r>
            <w:r>
              <w:rPr>
                <w:rFonts w:hint="eastAsia" w:ascii="等线" w:hAnsi="等线" w:eastAsia="等线" w:cs="等线"/>
                <w:szCs w:val="21"/>
              </w:rPr>
              <w:t>职能，</w:t>
            </w:r>
            <w:r>
              <w:rPr>
                <w:rFonts w:hint="eastAsia" w:ascii="等线" w:hAnsi="等线" w:eastAsia="等线" w:cs="等线"/>
                <w:szCs w:val="21"/>
                <w:lang w:val="en-US" w:eastAsia="zh-CN"/>
              </w:rPr>
              <w:t>抽查部门职能如下：</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1)编制月生产作业计划，要先考虑到有关的安全措施和必要的作业条件，在制订技术操作规程时，也必须符合安全环保的要求。</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2)生产调度必须随时掌握现场安全生产情况，有不安全隐患要及时向领导汇报，并安排时间予以消除，指挥生产时要符合安全技术规范的要求，并有权制止威协人身的冒险作业，同时报告领导。</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3)安排生产计划时，必须考虑工艺设备的能力防止设备超负荷运行。</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4)每月的部门会议上必须同时研究和解决安全生产上的问题。</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5)组织指挥生产时当安全与生产发生矛盾时，必须服从安全、不许冒险作业。</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6)在试制新产品、新品种的同时要有相应的安全措施，并协助督促有关单位和人员实施，严防试制中发生事故。</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7)新制定的技术规章制度要有确保安全的措施。</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8)新上项目，同时要有安全的措施。</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9)在编制年度、季度的生产计划同时，要编制安全技术措施计划，包括安全技术研究，改善劳动条件与文明生产项目。</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10)负责安全环保技术措施项目的汇总，要按国家有关安全环规定比例费用，安排项目，不削减或挪作他用。</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11)按照国家规定或实际需要提取年度安全技术措施经费和其他劳动保护费用。</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12)制订厂内交通、消防安全管理制度，并对执行情况进行监督检查。</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13)负责其他相关要素的实施。</w:t>
            </w:r>
          </w:p>
          <w:p>
            <w:pPr>
              <w:spacing w:line="280" w:lineRule="exact"/>
              <w:ind w:firstLine="420" w:firstLineChars="200"/>
              <w:rPr>
                <w:rFonts w:hint="eastAsia" w:ascii="等线" w:hAnsi="等线" w:eastAsia="等线" w:cs="等线"/>
                <w:b/>
                <w:color w:val="000000"/>
                <w:szCs w:val="21"/>
              </w:rPr>
            </w:pPr>
            <w:r>
              <w:rPr>
                <w:rFonts w:hint="eastAsia" w:ascii="等线" w:hAnsi="等线" w:eastAsia="等线" w:cs="等线"/>
                <w:szCs w:val="21"/>
                <w:lang w:val="en-US" w:eastAsia="zh-CN"/>
              </w:rPr>
              <w:t>与生产部负责人沟通，描述的职责和权限与一体化管理体系的职能分配表基本一致。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bidi w:val="0"/>
              <w:rPr>
                <w:rFonts w:hint="eastAsia"/>
                <w:lang w:val="en-US" w:eastAsia="zh-CN"/>
              </w:rPr>
            </w:pPr>
            <w:r>
              <w:rPr>
                <w:rFonts w:hint="eastAsia"/>
                <w:lang w:val="en-US" w:eastAsia="zh-CN"/>
              </w:rPr>
              <w:t>危险源识别评价及其风险控制</w:t>
            </w:r>
          </w:p>
        </w:tc>
        <w:tc>
          <w:tcPr>
            <w:tcW w:w="960" w:type="dxa"/>
            <w:vAlign w:val="top"/>
          </w:tcPr>
          <w:p>
            <w:pPr>
              <w:bidi w:val="0"/>
              <w:rPr>
                <w:rFonts w:hint="eastAsia"/>
                <w:lang w:val="en-US" w:eastAsia="zh-CN"/>
              </w:rPr>
            </w:pPr>
            <w:r>
              <w:rPr>
                <w:rFonts w:hint="eastAsia"/>
                <w:lang w:val="en-US" w:eastAsia="zh-CN"/>
              </w:rPr>
              <w:t>O</w:t>
            </w:r>
            <w:r>
              <w:rPr>
                <w:rFonts w:hint="eastAsia"/>
              </w:rPr>
              <w:t>6.1.2</w:t>
            </w:r>
            <w:r>
              <w:rPr>
                <w:rFonts w:hint="eastAsia"/>
                <w:lang w:val="en-US" w:eastAsia="zh-CN"/>
              </w:rPr>
              <w:t>/6.1.4</w:t>
            </w:r>
          </w:p>
        </w:tc>
        <w:tc>
          <w:tcPr>
            <w:tcW w:w="10004" w:type="dxa"/>
            <w:vAlign w:val="center"/>
          </w:tcPr>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组织根据手册第6.1.2条款、</w:t>
            </w:r>
            <w:r>
              <w:rPr>
                <w:rFonts w:hint="eastAsia" w:ascii="等线" w:hAnsi="等线" w:eastAsia="等线" w:cs="等线"/>
                <w:szCs w:val="21"/>
                <w:lang w:val="en-US" w:eastAsia="zh-CN"/>
              </w:rPr>
              <w:t>《</w:t>
            </w:r>
            <w:r>
              <w:rPr>
                <w:rFonts w:hint="eastAsia" w:ascii="华文细黑" w:hAnsi="华文细黑" w:eastAsia="华文细黑" w:cs="华文细黑"/>
                <w:b w:val="0"/>
                <w:bCs w:val="0"/>
                <w:sz w:val="21"/>
                <w:szCs w:val="21"/>
                <w:lang w:val="en-US" w:eastAsia="zh-CN"/>
              </w:rPr>
              <w:t>危险源和环境因素识别、评价控制程序</w:t>
            </w:r>
            <w:r>
              <w:rPr>
                <w:rFonts w:hint="eastAsia" w:ascii="等线" w:hAnsi="等线" w:eastAsia="等线" w:cs="等线"/>
                <w:szCs w:val="21"/>
                <w:lang w:val="en-US" w:eastAsia="zh-CN"/>
              </w:rPr>
              <w:t>》要求，由</w:t>
            </w:r>
            <w:r>
              <w:rPr>
                <w:rFonts w:hint="eastAsia" w:ascii="等线" w:hAnsi="等线" w:eastAsia="等线" w:cs="等线"/>
                <w:sz w:val="21"/>
                <w:szCs w:val="21"/>
                <w:lang w:val="en-US" w:eastAsia="zh-CN"/>
              </w:rPr>
              <w:t>行政部负责指导生产部的危险源的调查、评价、汇总、登记、审定及更新，生产部配合负责识别、评价职责范围的危险源。给出生产部相关的《危险源辨识及风险评价表》，抽查与生产过程相关的重要危险源内容如下：</w:t>
            </w:r>
          </w:p>
          <w:p>
            <w:pPr>
              <w:pStyle w:val="3"/>
              <w:rPr>
                <w:rFonts w:hint="eastAsia"/>
                <w:lang w:val="en-US" w:eastAsia="zh-CN"/>
              </w:rPr>
            </w:pPr>
            <w:r>
              <w:rPr>
                <w:rFonts w:hint="eastAsia"/>
                <w:lang w:val="en-US" w:eastAsia="zh-CN"/>
              </w:rPr>
              <w:drawing>
                <wp:inline distT="0" distB="0" distL="114300" distR="114300">
                  <wp:extent cx="6265545" cy="2752725"/>
                  <wp:effectExtent l="0" t="0" r="8255" b="3175"/>
                  <wp:docPr id="2" name="图片 2" descr="微信截图_2022090711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0907114058"/>
                          <pic:cNvPicPr>
                            <a:picLocks noChangeAspect="1"/>
                          </pic:cNvPicPr>
                        </pic:nvPicPr>
                        <pic:blipFill>
                          <a:blip r:embed="rId6"/>
                          <a:stretch>
                            <a:fillRect/>
                          </a:stretch>
                        </pic:blipFill>
                        <pic:spPr>
                          <a:xfrm>
                            <a:off x="0" y="0"/>
                            <a:ext cx="6265545" cy="2752725"/>
                          </a:xfrm>
                          <a:prstGeom prst="rect">
                            <a:avLst/>
                          </a:prstGeom>
                        </pic:spPr>
                      </pic:pic>
                    </a:graphicData>
                  </a:graphic>
                </wp:inline>
              </w:drawing>
            </w:r>
          </w:p>
          <w:p>
            <w:pPr>
              <w:spacing w:line="280" w:lineRule="exact"/>
              <w:ind w:firstLine="420" w:firstLineChars="200"/>
              <w:rPr>
                <w:rFonts w:hint="eastAsia" w:ascii="等线" w:hAnsi="等线" w:eastAsia="等线" w:cs="等线"/>
                <w:kern w:val="2"/>
                <w:sz w:val="21"/>
                <w:szCs w:val="21"/>
                <w:lang w:val="en-US" w:eastAsia="zh-CN" w:bidi="ar-SA"/>
              </w:rPr>
            </w:pPr>
            <w:r>
              <w:rPr>
                <w:rFonts w:hint="eastAsia" w:ascii="等线" w:hAnsi="等线" w:eastAsia="等线" w:cs="等线"/>
                <w:sz w:val="21"/>
                <w:szCs w:val="21"/>
                <w:lang w:val="en-US" w:eastAsia="zh-CN"/>
              </w:rPr>
              <w:t>重要危险源识别、评价与实际吻合，运行控制和应急准备分别见各部门8.1和8.2，控制措施基本能够满足控制要求。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bidi w:val="0"/>
              <w:rPr>
                <w:rFonts w:hint="eastAsia"/>
                <w:lang w:val="en-US" w:eastAsia="zh-CN"/>
              </w:rPr>
            </w:pPr>
            <w:r>
              <w:rPr>
                <w:rFonts w:hint="eastAsia"/>
              </w:rPr>
              <w:t>目标</w:t>
            </w:r>
            <w:r>
              <w:rPr>
                <w:rFonts w:hint="eastAsia"/>
                <w:lang w:val="en-US" w:eastAsia="zh-CN"/>
              </w:rPr>
              <w:t>及其实现的策划</w:t>
            </w:r>
          </w:p>
        </w:tc>
        <w:tc>
          <w:tcPr>
            <w:tcW w:w="960" w:type="dxa"/>
            <w:vAlign w:val="top"/>
          </w:tcPr>
          <w:p>
            <w:pPr>
              <w:bidi w:val="0"/>
              <w:rPr>
                <w:lang w:val="en-US" w:eastAsia="zh-CN"/>
              </w:rPr>
            </w:pPr>
            <w:r>
              <w:rPr>
                <w:rFonts w:hint="eastAsia"/>
                <w:lang w:val="en-US" w:eastAsia="zh-CN"/>
              </w:rPr>
              <w:t>O</w:t>
            </w:r>
            <w:r>
              <w:t>6.2</w:t>
            </w:r>
          </w:p>
        </w:tc>
        <w:tc>
          <w:tcPr>
            <w:tcW w:w="10004" w:type="dxa"/>
            <w:vAlign w:val="top"/>
          </w:tcPr>
          <w:p>
            <w:pPr>
              <w:snapToGrid w:val="0"/>
              <w:ind w:firstLine="420" w:firstLineChars="200"/>
              <w:rPr>
                <w:rFonts w:hint="eastAsia"/>
                <w:color w:val="auto"/>
                <w:szCs w:val="21"/>
              </w:rPr>
            </w:pPr>
            <w:r>
              <w:rPr>
                <w:rFonts w:hint="eastAsia"/>
                <w:color w:val="auto"/>
                <w:szCs w:val="21"/>
                <w:lang w:val="en-US" w:eastAsia="zh-CN"/>
              </w:rPr>
              <w:t>审核发现，涉及生产部的职业健康安全目标分解如下：</w:t>
            </w:r>
            <w:r>
              <w:rPr>
                <w:rFonts w:hint="eastAsia"/>
                <w:color w:val="auto"/>
                <w:szCs w:val="21"/>
              </w:rPr>
              <w:t xml:space="preserve"> </w:t>
            </w:r>
          </w:p>
          <w:p>
            <w:pPr>
              <w:snapToGrid w:val="0"/>
              <w:rPr>
                <w:color w:val="FF0000"/>
                <w:szCs w:val="21"/>
              </w:rPr>
            </w:pPr>
            <w:r>
              <w:drawing>
                <wp:inline distT="0" distB="0" distL="114300" distR="114300">
                  <wp:extent cx="6209665" cy="1109980"/>
                  <wp:effectExtent l="0" t="0" r="635"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209665" cy="1109980"/>
                          </a:xfrm>
                          <a:prstGeom prst="rect">
                            <a:avLst/>
                          </a:prstGeom>
                          <a:noFill/>
                          <a:ln>
                            <a:noFill/>
                          </a:ln>
                        </pic:spPr>
                      </pic:pic>
                    </a:graphicData>
                  </a:graphic>
                </wp:inline>
              </w:drawing>
            </w:r>
            <w:r>
              <w:rPr>
                <w:rFonts w:hint="eastAsia"/>
                <w:color w:val="FF0000"/>
                <w:szCs w:val="21"/>
              </w:rPr>
              <w:t xml:space="preserve">               </w:t>
            </w:r>
          </w:p>
          <w:p>
            <w:pPr>
              <w:snapToGrid w:val="0"/>
              <w:ind w:firstLine="420" w:firstLineChars="200"/>
              <w:rPr>
                <w:rFonts w:hint="eastAsia" w:ascii="Times New Roman" w:hAnsi="Times New Roman" w:eastAsia="宋体" w:cs="Times New Roman"/>
                <w:color w:val="000000"/>
                <w:kern w:val="2"/>
                <w:sz w:val="21"/>
                <w:szCs w:val="21"/>
                <w:highlight w:val="yellow"/>
                <w:lang w:val="en-US" w:eastAsia="zh-CN" w:bidi="ar-SA"/>
              </w:rPr>
            </w:pPr>
            <w:r>
              <w:rPr>
                <w:rFonts w:hint="eastAsia" w:ascii="等线" w:hAnsi="等线" w:eastAsia="等线" w:cs="等线"/>
                <w:lang w:val="en-US" w:eastAsia="zh-CN"/>
              </w:rPr>
              <w:t>涉及的职业健康安全目标分解基本合理，与组织的职业健康安全方针基本一致，统计方法合理，有相应的监视记录，符合要求；与生产部负责人访谈时了解到，该部门对目标的理解清晰，沟通有效。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等线" w:hAnsi="等线" w:eastAsia="等线" w:cs="等线"/>
                <w:szCs w:val="21"/>
                <w:lang w:val="en-US" w:eastAsia="zh-CN"/>
              </w:rPr>
            </w:pPr>
            <w:r>
              <w:rPr>
                <w:rFonts w:hint="eastAsia" w:ascii="等线" w:hAnsi="等线" w:eastAsia="等线" w:cs="等线"/>
                <w:szCs w:val="21"/>
                <w:lang w:val="en-US" w:eastAsia="zh-CN"/>
              </w:rPr>
              <w:t>运行的策划与控制</w:t>
            </w:r>
          </w:p>
        </w:tc>
        <w:tc>
          <w:tcPr>
            <w:tcW w:w="960" w:type="dxa"/>
          </w:tcPr>
          <w:p>
            <w:pPr>
              <w:spacing w:line="280" w:lineRule="exact"/>
              <w:rPr>
                <w:rFonts w:hint="eastAsia" w:ascii="等线" w:hAnsi="等线" w:eastAsia="等线" w:cs="等线"/>
                <w:szCs w:val="21"/>
                <w:lang w:val="en-US" w:eastAsia="zh-CN"/>
              </w:rPr>
            </w:pPr>
            <w:r>
              <w:rPr>
                <w:rFonts w:hint="eastAsia" w:ascii="等线" w:hAnsi="等线" w:eastAsia="等线" w:cs="等线"/>
                <w:szCs w:val="21"/>
                <w:lang w:val="en-US" w:eastAsia="zh-CN"/>
              </w:rPr>
              <w:t>O8.1</w:t>
            </w:r>
          </w:p>
        </w:tc>
        <w:tc>
          <w:tcPr>
            <w:tcW w:w="10004" w:type="dxa"/>
            <w:vAlign w:val="center"/>
          </w:tcPr>
          <w:p>
            <w:pPr>
              <w:spacing w:line="280" w:lineRule="exact"/>
              <w:ind w:firstLine="420" w:firstLineChars="200"/>
              <w:rPr>
                <w:rFonts w:hint="default" w:ascii="等线" w:hAnsi="等线" w:eastAsia="等线" w:cs="等线"/>
                <w:lang w:val="en-US" w:eastAsia="zh-CN"/>
              </w:rPr>
            </w:pPr>
            <w:r>
              <w:rPr>
                <w:rFonts w:hint="eastAsia" w:ascii="等线" w:hAnsi="等线" w:eastAsia="等线" w:cs="等线"/>
                <w:lang w:val="en-US" w:eastAsia="zh-CN"/>
              </w:rPr>
              <w:t>组织根据《管理手册》要求，策划了一系列控制管理程序文件，内容包括目的、适用范围、职责和程序等，满足运行策划要求，相应的记录文件基本满足策划执行要求。</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结合现场审核发现，涉及生产部的职业健康安全运行控制情况如下：</w:t>
            </w:r>
          </w:p>
          <w:p>
            <w:pPr>
              <w:spacing w:line="280" w:lineRule="exact"/>
              <w:ind w:firstLine="420" w:firstLineChars="200"/>
              <w:rPr>
                <w:rFonts w:hint="eastAsia" w:ascii="等线" w:hAnsi="等线" w:eastAsia="等线" w:cs="等线"/>
              </w:rPr>
            </w:pPr>
            <w:r>
              <w:rPr>
                <w:rFonts w:hint="eastAsia" w:ascii="等线" w:hAnsi="等线" w:eastAsia="等线" w:cs="等线"/>
              </w:rPr>
              <w:t>1</w:t>
            </w:r>
            <w:r>
              <w:rPr>
                <w:rFonts w:hint="eastAsia" w:ascii="等线" w:hAnsi="等线" w:eastAsia="等线" w:cs="等线"/>
                <w:lang w:val="en-US" w:eastAsia="zh-CN"/>
              </w:rPr>
              <w:t>.</w:t>
            </w:r>
            <w:r>
              <w:rPr>
                <w:rFonts w:hint="eastAsia" w:ascii="等线" w:hAnsi="等线" w:eastAsia="等线" w:cs="等线"/>
              </w:rPr>
              <w:t>废气管控</w:t>
            </w:r>
          </w:p>
          <w:p>
            <w:pPr>
              <w:spacing w:line="280" w:lineRule="exact"/>
              <w:ind w:firstLine="420" w:firstLineChars="200"/>
              <w:rPr>
                <w:rFonts w:hint="eastAsia" w:ascii="等线" w:hAnsi="等线" w:eastAsia="等线" w:cs="等线"/>
                <w:color w:val="auto"/>
                <w:lang w:val="en-US" w:eastAsia="zh-CN"/>
              </w:rPr>
            </w:pPr>
            <w:r>
              <w:rPr>
                <w:rFonts w:hint="eastAsia" w:ascii="等线" w:hAnsi="等线" w:eastAsia="等线" w:cs="等线"/>
                <w:lang w:val="en-US" w:eastAsia="zh-CN"/>
              </w:rPr>
              <w:t>现场查看发现：</w:t>
            </w:r>
            <w:r>
              <w:rPr>
                <w:rFonts w:hint="eastAsia" w:ascii="等线" w:hAnsi="等线" w:eastAsia="等线" w:cs="等线"/>
                <w:color w:val="auto"/>
                <w:lang w:val="en-US" w:eastAsia="zh-CN"/>
              </w:rPr>
              <w:t>①生产车间油漆线和喷漆房，使用水性漆，废气通过吸风集气罩收集送至活性炭吸附装置进行处理后通过15m高的排气筒排放；②生产车间粉尘：锯切、双端铣、砂光、四面刨等机加工产生的粉尘通过脉冲布袋除尘器搜集后经15m高的排气筒排放。</w:t>
            </w:r>
          </w:p>
          <w:p>
            <w:pPr>
              <w:spacing w:line="280" w:lineRule="exact"/>
              <w:ind w:firstLine="420" w:firstLineChars="200"/>
              <w:rPr>
                <w:rFonts w:hint="default" w:ascii="等线" w:hAnsi="等线" w:eastAsia="等线" w:cs="等线"/>
                <w:color w:val="auto"/>
                <w:lang w:val="en-US"/>
              </w:rPr>
            </w:pPr>
            <w:r>
              <w:rPr>
                <w:rFonts w:hint="eastAsia" w:ascii="等线" w:hAnsi="等线" w:eastAsia="等线" w:cs="等线"/>
                <w:color w:val="auto"/>
                <w:lang w:val="en-US" w:eastAsia="zh-CN"/>
              </w:rPr>
              <w:t>提供工作场所职业病危害因素检测报告，编号：DYZR2111505；机构：杭州道宇检测技术有限公司；项目为：粉尘和甲醛。</w:t>
            </w:r>
          </w:p>
          <w:p>
            <w:pPr>
              <w:spacing w:line="280" w:lineRule="exact"/>
              <w:ind w:firstLine="420" w:firstLineChars="200"/>
              <w:rPr>
                <w:rFonts w:hint="eastAsia" w:ascii="等线" w:hAnsi="等线" w:eastAsia="等线" w:cs="等线"/>
              </w:rPr>
            </w:pPr>
            <w:r>
              <w:rPr>
                <w:rFonts w:hint="eastAsia" w:ascii="等线" w:hAnsi="等线" w:eastAsia="等线" w:cs="等线"/>
                <w:lang w:val="en-US" w:eastAsia="zh-CN"/>
              </w:rPr>
              <w:t>2.</w:t>
            </w:r>
            <w:r>
              <w:rPr>
                <w:rFonts w:hint="eastAsia" w:ascii="等线" w:hAnsi="等线" w:eastAsia="等线" w:cs="等线"/>
              </w:rPr>
              <w:t>噪声管控</w:t>
            </w:r>
          </w:p>
          <w:p>
            <w:pPr>
              <w:spacing w:line="280" w:lineRule="exact"/>
              <w:ind w:firstLine="420" w:firstLineChars="200"/>
              <w:rPr>
                <w:rFonts w:hint="eastAsia" w:ascii="等线" w:hAnsi="等线" w:eastAsia="等线" w:cs="等线"/>
              </w:rPr>
            </w:pPr>
            <w:r>
              <w:rPr>
                <w:rFonts w:hint="eastAsia" w:ascii="等线" w:hAnsi="等线" w:eastAsia="等线" w:cs="等线"/>
                <w:lang w:val="en-US" w:eastAsia="zh-CN"/>
              </w:rPr>
              <w:t>生产车间噪声排放主要是机器加工产生，未设置专业降噪设施设备，现场工人主要通过耳塞等手段防护，检测报告显示，有超标，要求现场工人佩戴防护耳塞，现场查看有工人未佩戴，现场沟通及时做好防护。</w:t>
            </w:r>
          </w:p>
          <w:p>
            <w:pPr>
              <w:spacing w:line="280" w:lineRule="exact"/>
              <w:ind w:firstLine="420" w:firstLineChars="200"/>
              <w:rPr>
                <w:rFonts w:hint="default" w:ascii="等线" w:hAnsi="等线" w:eastAsia="等线" w:cs="等线"/>
                <w:lang w:val="en-US" w:eastAsia="zh-CN"/>
              </w:rPr>
            </w:pPr>
            <w:r>
              <w:rPr>
                <w:rFonts w:hint="eastAsia" w:ascii="等线" w:hAnsi="等线" w:eastAsia="等线" w:cs="等线"/>
                <w:lang w:val="en-US" w:eastAsia="zh-CN"/>
              </w:rPr>
              <w:t>3.特种设备</w:t>
            </w:r>
          </w:p>
          <w:p>
            <w:pPr>
              <w:spacing w:line="280" w:lineRule="exact"/>
              <w:ind w:firstLine="420" w:firstLineChars="200"/>
              <w:rPr>
                <w:rFonts w:hint="default" w:ascii="等线" w:hAnsi="等线" w:eastAsia="等线" w:cs="等线"/>
                <w:lang w:val="en-US" w:eastAsia="zh-CN"/>
              </w:rPr>
            </w:pPr>
            <w:r>
              <w:rPr>
                <w:rFonts w:hint="eastAsia" w:ascii="等线" w:hAnsi="等线" w:eastAsia="等线" w:cs="等线"/>
                <w:lang w:val="en-US" w:eastAsia="zh-CN"/>
              </w:rPr>
              <w:t>主要为叉车，提供叉车操作人员证书，叉车特种设备使用标志和检测报告：下次检验日期2022年12月，在有效期内，符合要求。</w:t>
            </w:r>
          </w:p>
          <w:p>
            <w:pPr>
              <w:numPr>
                <w:numId w:val="0"/>
              </w:num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4.现场标识管理</w:t>
            </w:r>
          </w:p>
          <w:p>
            <w:pPr>
              <w:spacing w:line="280" w:lineRule="exact"/>
              <w:ind w:firstLine="420" w:firstLineChars="200"/>
              <w:rPr>
                <w:rFonts w:hint="default" w:ascii="等线" w:hAnsi="等线" w:eastAsia="等线" w:cs="等线"/>
                <w:b/>
                <w:bCs/>
                <w:color w:val="auto"/>
                <w:u w:val="single"/>
                <w:lang w:val="en-US" w:eastAsia="zh-CN"/>
              </w:rPr>
            </w:pPr>
            <w:r>
              <w:rPr>
                <w:rFonts w:hint="eastAsia" w:ascii="等线" w:hAnsi="等线" w:eastAsia="等线" w:cs="等线"/>
                <w:lang w:val="en-US" w:eastAsia="zh-CN"/>
              </w:rPr>
              <w:t>现场可见安全生产宣传标识，车间作业区间有划线。</w:t>
            </w:r>
            <w:r>
              <w:rPr>
                <w:rFonts w:hint="eastAsia" w:ascii="等线" w:hAnsi="等线" w:eastAsia="等线" w:cs="等线"/>
                <w:b w:val="0"/>
                <w:bCs w:val="0"/>
                <w:color w:val="auto"/>
                <w:u w:val="none"/>
                <w:lang w:val="en-US" w:eastAsia="zh-CN"/>
              </w:rPr>
              <w:t>车间有用电安全和设备危害告知标识，车间主要标识为用电安全和机械伤害提醒，</w:t>
            </w:r>
            <w:r>
              <w:rPr>
                <w:rFonts w:hint="eastAsia" w:ascii="等线" w:hAnsi="等线" w:eastAsia="等线" w:cs="等线"/>
                <w:b/>
                <w:bCs/>
                <w:color w:val="auto"/>
                <w:u w:val="single"/>
                <w:lang w:val="en-US" w:eastAsia="zh-CN"/>
              </w:rPr>
              <w:t>但未见噪声、粉尘、甲醛等危险告知信息。</w:t>
            </w:r>
          </w:p>
          <w:p>
            <w:pPr>
              <w:bidi w:val="0"/>
              <w:ind w:firstLine="420" w:firstLineChars="200"/>
              <w:rPr>
                <w:rFonts w:hint="eastAsia" w:ascii="等线" w:hAnsi="等线" w:eastAsia="等线" w:cs="等线"/>
                <w:color w:val="auto"/>
                <w:spacing w:val="0"/>
                <w:kern w:val="2"/>
                <w:sz w:val="21"/>
                <w:szCs w:val="20"/>
                <w:lang w:val="en-US" w:eastAsia="zh-CN" w:bidi="ar-SA"/>
              </w:rPr>
            </w:pPr>
            <w:r>
              <w:rPr>
                <w:rFonts w:hint="eastAsia" w:ascii="等线" w:hAnsi="等线" w:eastAsia="等线" w:cs="等线"/>
                <w:color w:val="auto"/>
                <w:spacing w:val="0"/>
                <w:kern w:val="2"/>
                <w:sz w:val="21"/>
                <w:szCs w:val="20"/>
                <w:lang w:val="en-US" w:eastAsia="zh-CN" w:bidi="ar-SA"/>
              </w:rPr>
              <w:t>5.潜在火灾管控</w:t>
            </w:r>
          </w:p>
          <w:p>
            <w:pPr>
              <w:bidi w:val="0"/>
              <w:ind w:firstLine="420" w:firstLineChars="200"/>
              <w:rPr>
                <w:rFonts w:hint="eastAsia" w:ascii="等线" w:hAnsi="等线" w:eastAsia="等线" w:cs="等线"/>
                <w:color w:val="auto"/>
                <w:spacing w:val="0"/>
                <w:kern w:val="2"/>
                <w:sz w:val="21"/>
                <w:szCs w:val="20"/>
                <w:lang w:val="en-US" w:eastAsia="zh-CN" w:bidi="ar-SA"/>
              </w:rPr>
            </w:pPr>
            <w:r>
              <w:rPr>
                <w:rFonts w:hint="eastAsia" w:ascii="等线" w:hAnsi="等线" w:eastAsia="等线" w:cs="等线"/>
                <w:color w:val="auto"/>
                <w:spacing w:val="0"/>
                <w:kern w:val="2"/>
                <w:sz w:val="21"/>
                <w:szCs w:val="20"/>
                <w:lang w:val="en-US" w:eastAsia="zh-CN" w:bidi="ar-SA"/>
              </w:rPr>
              <w:t>组织车间各工作场所均配有消防栓和新配置的灭火器，有按要求进行检查维护。</w:t>
            </w:r>
          </w:p>
          <w:p>
            <w:pPr>
              <w:bidi w:val="0"/>
              <w:ind w:firstLine="420" w:firstLineChars="200"/>
              <w:rPr>
                <w:rFonts w:hint="eastAsia" w:ascii="等线" w:hAnsi="等线" w:eastAsia="等线" w:cs="等线"/>
                <w:color w:val="auto"/>
                <w:spacing w:val="0"/>
                <w:kern w:val="2"/>
                <w:sz w:val="21"/>
                <w:szCs w:val="20"/>
                <w:lang w:val="en-US" w:eastAsia="zh-CN" w:bidi="ar-SA"/>
              </w:rPr>
            </w:pPr>
            <w:r>
              <w:rPr>
                <w:rFonts w:hint="eastAsia" w:ascii="等线" w:hAnsi="等线" w:eastAsia="等线" w:cs="等线"/>
                <w:color w:val="auto"/>
                <w:spacing w:val="0"/>
                <w:kern w:val="2"/>
                <w:sz w:val="21"/>
                <w:szCs w:val="20"/>
                <w:lang w:val="en-US" w:eastAsia="zh-CN" w:bidi="ar-SA"/>
              </w:rPr>
              <w:t>6.空压机房</w:t>
            </w:r>
          </w:p>
          <w:p>
            <w:pPr>
              <w:bidi w:val="0"/>
              <w:ind w:firstLine="420" w:firstLineChars="200"/>
              <w:rPr>
                <w:rFonts w:hint="eastAsia" w:ascii="等线" w:hAnsi="等线" w:eastAsia="等线" w:cs="等线"/>
                <w:b/>
                <w:bCs/>
                <w:color w:val="auto"/>
                <w:spacing w:val="0"/>
                <w:kern w:val="2"/>
                <w:sz w:val="21"/>
                <w:szCs w:val="20"/>
                <w:u w:val="single"/>
                <w:lang w:val="en-US" w:eastAsia="zh-CN" w:bidi="ar-SA"/>
              </w:rPr>
            </w:pPr>
            <w:r>
              <w:rPr>
                <w:rFonts w:hint="eastAsia" w:ascii="等线" w:hAnsi="等线" w:eastAsia="等线" w:cs="等线"/>
                <w:color w:val="auto"/>
                <w:spacing w:val="0"/>
                <w:kern w:val="2"/>
                <w:sz w:val="21"/>
                <w:szCs w:val="20"/>
                <w:lang w:val="en-US" w:eastAsia="zh-CN" w:bidi="ar-SA"/>
              </w:rPr>
              <w:t>空压机房处置车间外，有独立空间；储气罐制造日期为2022年1月；</w:t>
            </w:r>
            <w:r>
              <w:rPr>
                <w:rFonts w:hint="eastAsia" w:ascii="等线" w:hAnsi="等线" w:eastAsia="等线" w:cs="等线"/>
                <w:b/>
                <w:bCs/>
                <w:color w:val="auto"/>
                <w:spacing w:val="0"/>
                <w:kern w:val="2"/>
                <w:sz w:val="21"/>
                <w:szCs w:val="20"/>
                <w:u w:val="single"/>
                <w:lang w:val="en-US" w:eastAsia="zh-CN" w:bidi="ar-SA"/>
              </w:rPr>
              <w:t>但未提供压力表检定证书和安全阀检验证书；</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7.配电房</w:t>
            </w:r>
          </w:p>
          <w:p>
            <w:p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现场可见明显场所标识和安全告知信息，上锁，设置档鼠板，但为木质结构，现场已沟通整改；变电房见绝缘垫，未见设置绝缘棒、绝缘鞋和手套，现场已沟通要求配置。</w:t>
            </w:r>
          </w:p>
          <w:p>
            <w:pPr>
              <w:spacing w:line="280" w:lineRule="exact"/>
              <w:ind w:firstLine="420" w:firstLineChars="200"/>
              <w:rPr>
                <w:rFonts w:hint="default" w:ascii="等线" w:hAnsi="等线" w:eastAsia="等线" w:cs="等线"/>
                <w:lang w:val="en-US" w:eastAsia="zh-CN"/>
              </w:rPr>
            </w:pPr>
            <w:r>
              <w:rPr>
                <w:rFonts w:hint="eastAsia" w:ascii="等线" w:hAnsi="等线" w:eastAsia="等线" w:cs="等线"/>
                <w:lang w:val="en-US" w:eastAsia="zh-CN"/>
              </w:rPr>
              <w:t>8.危险化学品管理</w:t>
            </w:r>
          </w:p>
          <w:p>
            <w:pPr>
              <w:spacing w:line="280" w:lineRule="exact"/>
              <w:ind w:firstLine="420" w:firstLineChars="200"/>
              <w:rPr>
                <w:rFonts w:hint="default" w:ascii="等线" w:hAnsi="等线" w:eastAsia="等线" w:cs="等线"/>
                <w:lang w:val="en-US" w:eastAsia="zh-CN"/>
              </w:rPr>
            </w:pPr>
            <w:r>
              <w:rPr>
                <w:rFonts w:hint="eastAsia" w:ascii="等线" w:hAnsi="等线" w:eastAsia="等线" w:cs="等线"/>
                <w:b/>
                <w:bCs/>
                <w:u w:val="single"/>
                <w:lang w:val="en-US" w:eastAsia="zh-CN"/>
              </w:rPr>
              <w:t>打样车间现场发现若干瓶500mlCAS号为1336-21-6的氨水溶液，无MSDS</w:t>
            </w:r>
            <w:r>
              <w:rPr>
                <w:rFonts w:hint="eastAsia" w:ascii="等线" w:hAnsi="等线" w:eastAsia="等线" w:cs="等线"/>
                <w:lang w:val="en-US" w:eastAsia="zh-CN"/>
              </w:rPr>
              <w:t>。公司有危化品仓库，但氨水存放处也无MSDS信息。</w:t>
            </w:r>
          </w:p>
        </w:tc>
        <w:tc>
          <w:tcPr>
            <w:tcW w:w="1585" w:type="dxa"/>
          </w:tcPr>
          <w:p>
            <w:pPr>
              <w:rPr>
                <w:rFonts w:hint="default" w:eastAsia="宋体"/>
                <w:lang w:val="en-US" w:eastAsia="zh-CN"/>
              </w:rPr>
            </w:pPr>
            <w:r>
              <w:rPr>
                <w:rFonts w:hint="eastAsia"/>
                <w:b/>
                <w:bCs/>
                <w:color w:val="auto"/>
                <w:u w:val="singl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tcPr>
          <w:p>
            <w:pPr>
              <w:rPr>
                <w:rFonts w:hint="eastAsia" w:ascii="等线" w:hAnsi="等线" w:eastAsia="等线" w:cs="等线"/>
                <w:szCs w:val="21"/>
              </w:rPr>
            </w:pPr>
            <w:r>
              <w:rPr>
                <w:rFonts w:hint="eastAsia" w:ascii="等线" w:hAnsi="等线" w:eastAsia="等线" w:cs="等线"/>
                <w:szCs w:val="21"/>
                <w:lang w:val="en-US" w:eastAsia="zh-CN"/>
              </w:rPr>
              <w:t>应急准备和响应</w:t>
            </w:r>
          </w:p>
        </w:tc>
        <w:tc>
          <w:tcPr>
            <w:tcW w:w="960" w:type="dxa"/>
          </w:tcPr>
          <w:p>
            <w:pPr>
              <w:spacing w:line="280" w:lineRule="exact"/>
              <w:rPr>
                <w:rFonts w:hint="eastAsia" w:ascii="等线" w:hAnsi="等线" w:eastAsia="等线" w:cs="等线"/>
                <w:szCs w:val="21"/>
                <w:lang w:val="en-US" w:eastAsia="zh-CN"/>
              </w:rPr>
            </w:pPr>
            <w:r>
              <w:rPr>
                <w:rFonts w:hint="eastAsia" w:ascii="等线" w:hAnsi="等线" w:eastAsia="等线" w:cs="等线"/>
                <w:szCs w:val="21"/>
                <w:lang w:val="en-US" w:eastAsia="zh-CN"/>
              </w:rPr>
              <w:t xml:space="preserve">EO8.2 </w:t>
            </w:r>
          </w:p>
        </w:tc>
        <w:tc>
          <w:tcPr>
            <w:tcW w:w="10004" w:type="dxa"/>
            <w:vAlign w:val="center"/>
          </w:tcPr>
          <w:p>
            <w:pPr>
              <w:spacing w:line="280" w:lineRule="exact"/>
              <w:ind w:firstLine="420" w:firstLineChars="200"/>
              <w:rPr>
                <w:rFonts w:hint="default" w:ascii="等线" w:hAnsi="等线" w:eastAsia="等线" w:cs="等线"/>
                <w:lang w:val="en-US" w:eastAsia="zh-CN"/>
              </w:rPr>
            </w:pPr>
            <w:r>
              <w:rPr>
                <w:rFonts w:hint="eastAsia" w:ascii="等线" w:hAnsi="等线" w:eastAsia="等线" w:cs="等线"/>
                <w:lang w:val="en-US" w:eastAsia="zh-CN"/>
              </w:rPr>
              <w:t>生产部参加行政部组织的消防演练，详见行政部记录。</w:t>
            </w:r>
          </w:p>
        </w:tc>
        <w:tc>
          <w:tcPr>
            <w:tcW w:w="1585" w:type="dxa"/>
          </w:tcPr>
          <w:p>
            <w:pPr>
              <w:rPr>
                <w:rFonts w:hint="eastAsia"/>
              </w:rPr>
            </w:pPr>
            <w:r>
              <w:rPr>
                <w:rFonts w:hint="eastAsia"/>
                <w:lang w:val="en-US" w:eastAsia="zh-CN"/>
              </w:rPr>
              <w:t>Y</w:t>
            </w:r>
          </w:p>
        </w:tc>
      </w:tr>
    </w:tbl>
    <w:p>
      <w:bookmarkStart w:id="0" w:name="_GoBack"/>
      <w:bookmarkEnd w:id="0"/>
      <w:r>
        <w:ptab w:relativeTo="margin" w:alignment="center" w:leader="none"/>
      </w:r>
    </w:p>
    <w:p>
      <w:pPr>
        <w:pStyle w:val="7"/>
        <w:rPr>
          <w:rFonts w:hint="default" w:eastAsia="宋体"/>
          <w:lang w:val="en-US" w:eastAsia="zh-CN"/>
        </w:rPr>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0" locked="0" layoutInCell="1" allowOverlap="1">
          <wp:simplePos x="0" y="0"/>
          <wp:positionH relativeFrom="column">
            <wp:posOffset>-39370</wp:posOffset>
          </wp:positionH>
          <wp:positionV relativeFrom="paragraph">
            <wp:posOffset>635</wp:posOffset>
          </wp:positionV>
          <wp:extent cx="481330" cy="484505"/>
          <wp:effectExtent l="0" t="0" r="6350" b="317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0"/>
      </w:pBdr>
      <w:spacing w:line="320" w:lineRule="exact"/>
      <w:ind w:firstLine="900" w:firstLineChars="500"/>
      <w:jc w:val="left"/>
    </w:pPr>
    <w:r>
      <mc:AlternateContent>
        <mc:Choice Requires="wps">
          <w:drawing>
            <wp:anchor distT="0" distB="0" distL="114300" distR="114300" simplePos="0" relativeHeight="251660288" behindDoc="0" locked="0" layoutInCell="1" allowOverlap="1">
              <wp:simplePos x="0" y="0"/>
              <wp:positionH relativeFrom="column">
                <wp:posOffset>6748145</wp:posOffset>
              </wp:positionH>
              <wp:positionV relativeFrom="paragraph">
                <wp:posOffset>58420</wp:posOffset>
              </wp:positionV>
              <wp:extent cx="2184400" cy="256540"/>
              <wp:effectExtent l="0" t="0" r="10160" b="2540"/>
              <wp:wrapNone/>
              <wp:docPr id="1"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p/>
                      </w:txbxContent>
                    </wps:txbx>
                    <wps:bodyPr upright="1"/>
                  </wps:wsp>
                </a:graphicData>
              </a:graphic>
            </wp:anchor>
          </w:drawing>
        </mc:Choice>
        <mc:Fallback>
          <w:pict>
            <v:shape id="_x0000_s1026" o:spid="_x0000_s1026" o:spt="202" type="#_x0000_t202" style="position:absolute;left:0pt;margin-left:531.35pt;margin-top:4.6pt;height:20.2pt;width:172pt;z-index:251660288;mso-width-relative:page;mso-height-relative:page;" fillcolor="#FFFFFF" filled="t" stroked="f" coordsize="21600,21600" o:gfxdata="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&#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Hc451wAAAAoBAAAPAAAAAAAAAAEAIAAAACIAAABk&#10;cnMvZG93bnJldi54bWxQSwECFAAUAAAACACHTuJA5MHaOM4BAACOAwAADgAAAAAAAAABACAAAAAm&#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173F"/>
    <w:rsid w:val="00022295"/>
    <w:rsid w:val="00070F88"/>
    <w:rsid w:val="00081614"/>
    <w:rsid w:val="000B7900"/>
    <w:rsid w:val="00171967"/>
    <w:rsid w:val="0018454E"/>
    <w:rsid w:val="001E13F3"/>
    <w:rsid w:val="001E7380"/>
    <w:rsid w:val="0020740E"/>
    <w:rsid w:val="0022716D"/>
    <w:rsid w:val="00257BE4"/>
    <w:rsid w:val="002679B4"/>
    <w:rsid w:val="0029355D"/>
    <w:rsid w:val="002C68BB"/>
    <w:rsid w:val="00311B3F"/>
    <w:rsid w:val="00313387"/>
    <w:rsid w:val="00342368"/>
    <w:rsid w:val="00383F30"/>
    <w:rsid w:val="003870EE"/>
    <w:rsid w:val="003C5E37"/>
    <w:rsid w:val="00426087"/>
    <w:rsid w:val="0045163F"/>
    <w:rsid w:val="00477697"/>
    <w:rsid w:val="004B16A6"/>
    <w:rsid w:val="004B48F9"/>
    <w:rsid w:val="004D1E37"/>
    <w:rsid w:val="004E4F0D"/>
    <w:rsid w:val="004E7C32"/>
    <w:rsid w:val="004F297D"/>
    <w:rsid w:val="0054259D"/>
    <w:rsid w:val="005A0BC8"/>
    <w:rsid w:val="005B6DAB"/>
    <w:rsid w:val="005C6A4E"/>
    <w:rsid w:val="005E3D29"/>
    <w:rsid w:val="006620BB"/>
    <w:rsid w:val="006A0976"/>
    <w:rsid w:val="006C5E35"/>
    <w:rsid w:val="006E2D85"/>
    <w:rsid w:val="00710516"/>
    <w:rsid w:val="0072362F"/>
    <w:rsid w:val="00727526"/>
    <w:rsid w:val="00761D8F"/>
    <w:rsid w:val="00781AA2"/>
    <w:rsid w:val="008044D9"/>
    <w:rsid w:val="0082705A"/>
    <w:rsid w:val="0083250F"/>
    <w:rsid w:val="00867579"/>
    <w:rsid w:val="00876E1B"/>
    <w:rsid w:val="0088204A"/>
    <w:rsid w:val="008C4AB7"/>
    <w:rsid w:val="008E20E9"/>
    <w:rsid w:val="008E4FC1"/>
    <w:rsid w:val="008F1592"/>
    <w:rsid w:val="00954EA8"/>
    <w:rsid w:val="00961452"/>
    <w:rsid w:val="009B6C76"/>
    <w:rsid w:val="009C3AF7"/>
    <w:rsid w:val="009E4C1F"/>
    <w:rsid w:val="00A07938"/>
    <w:rsid w:val="00A14A4C"/>
    <w:rsid w:val="00A561F1"/>
    <w:rsid w:val="00B764FE"/>
    <w:rsid w:val="00B854D0"/>
    <w:rsid w:val="00BB6546"/>
    <w:rsid w:val="00BF5AC4"/>
    <w:rsid w:val="00C00893"/>
    <w:rsid w:val="00C1420E"/>
    <w:rsid w:val="00C90558"/>
    <w:rsid w:val="00CB2699"/>
    <w:rsid w:val="00CE4298"/>
    <w:rsid w:val="00D77DA3"/>
    <w:rsid w:val="00DA362B"/>
    <w:rsid w:val="00DC71FF"/>
    <w:rsid w:val="00DD4B80"/>
    <w:rsid w:val="00DD7155"/>
    <w:rsid w:val="00DF6297"/>
    <w:rsid w:val="00E32552"/>
    <w:rsid w:val="00E47886"/>
    <w:rsid w:val="00EE2433"/>
    <w:rsid w:val="00EF3EBB"/>
    <w:rsid w:val="00F607B4"/>
    <w:rsid w:val="00F71405"/>
    <w:rsid w:val="01235183"/>
    <w:rsid w:val="0151224A"/>
    <w:rsid w:val="01A324E9"/>
    <w:rsid w:val="02110D3E"/>
    <w:rsid w:val="03062D2F"/>
    <w:rsid w:val="03157416"/>
    <w:rsid w:val="031E451D"/>
    <w:rsid w:val="039B5B6E"/>
    <w:rsid w:val="03C138BC"/>
    <w:rsid w:val="03E8349E"/>
    <w:rsid w:val="03F24011"/>
    <w:rsid w:val="0493386E"/>
    <w:rsid w:val="04BA2023"/>
    <w:rsid w:val="05685F23"/>
    <w:rsid w:val="05952F12"/>
    <w:rsid w:val="05AD4B1F"/>
    <w:rsid w:val="05F53327"/>
    <w:rsid w:val="067951C2"/>
    <w:rsid w:val="067E0F27"/>
    <w:rsid w:val="07AA54B3"/>
    <w:rsid w:val="07F857AE"/>
    <w:rsid w:val="08524CC2"/>
    <w:rsid w:val="09006217"/>
    <w:rsid w:val="09D77DF7"/>
    <w:rsid w:val="0A4505E1"/>
    <w:rsid w:val="0A7B32AF"/>
    <w:rsid w:val="0BB377CC"/>
    <w:rsid w:val="0BC769BE"/>
    <w:rsid w:val="0C0575B4"/>
    <w:rsid w:val="0C871385"/>
    <w:rsid w:val="0D141C00"/>
    <w:rsid w:val="0D761716"/>
    <w:rsid w:val="0DF35CFD"/>
    <w:rsid w:val="0E7B3563"/>
    <w:rsid w:val="0E875E54"/>
    <w:rsid w:val="0F5513A9"/>
    <w:rsid w:val="0F807DAA"/>
    <w:rsid w:val="0FC5700E"/>
    <w:rsid w:val="0FF75DDB"/>
    <w:rsid w:val="10395BF7"/>
    <w:rsid w:val="116A4DD1"/>
    <w:rsid w:val="117479FE"/>
    <w:rsid w:val="12331667"/>
    <w:rsid w:val="125B6980"/>
    <w:rsid w:val="136975F6"/>
    <w:rsid w:val="13DB5B12"/>
    <w:rsid w:val="142D3CA5"/>
    <w:rsid w:val="148A7AF4"/>
    <w:rsid w:val="163759E2"/>
    <w:rsid w:val="16756AEC"/>
    <w:rsid w:val="169A2C20"/>
    <w:rsid w:val="169C0C22"/>
    <w:rsid w:val="169D74D6"/>
    <w:rsid w:val="174A3FD4"/>
    <w:rsid w:val="17785B7E"/>
    <w:rsid w:val="179E7583"/>
    <w:rsid w:val="17B262BB"/>
    <w:rsid w:val="17CE3E17"/>
    <w:rsid w:val="17E86A50"/>
    <w:rsid w:val="1807667F"/>
    <w:rsid w:val="19DB368E"/>
    <w:rsid w:val="1B6B0D73"/>
    <w:rsid w:val="1B771D5F"/>
    <w:rsid w:val="1B7E1BA5"/>
    <w:rsid w:val="1B9C64CF"/>
    <w:rsid w:val="1CF9436F"/>
    <w:rsid w:val="1D2076D1"/>
    <w:rsid w:val="1F16369F"/>
    <w:rsid w:val="1F2675AC"/>
    <w:rsid w:val="1F3802BD"/>
    <w:rsid w:val="202645B9"/>
    <w:rsid w:val="21322F40"/>
    <w:rsid w:val="21926B64"/>
    <w:rsid w:val="22006D99"/>
    <w:rsid w:val="221F4357"/>
    <w:rsid w:val="22252D7A"/>
    <w:rsid w:val="22542BC6"/>
    <w:rsid w:val="22AF1DE3"/>
    <w:rsid w:val="22B55875"/>
    <w:rsid w:val="234436D4"/>
    <w:rsid w:val="234A774D"/>
    <w:rsid w:val="23A75740"/>
    <w:rsid w:val="23DE5D79"/>
    <w:rsid w:val="2423153B"/>
    <w:rsid w:val="242D14B2"/>
    <w:rsid w:val="245B03B8"/>
    <w:rsid w:val="25886ABD"/>
    <w:rsid w:val="25A0444A"/>
    <w:rsid w:val="25BC5A66"/>
    <w:rsid w:val="27FB09CD"/>
    <w:rsid w:val="284506CF"/>
    <w:rsid w:val="28663C79"/>
    <w:rsid w:val="28722A91"/>
    <w:rsid w:val="287C29F4"/>
    <w:rsid w:val="28D847FB"/>
    <w:rsid w:val="28FC5319"/>
    <w:rsid w:val="29292B04"/>
    <w:rsid w:val="29BC164F"/>
    <w:rsid w:val="2A3C0B76"/>
    <w:rsid w:val="2AA15705"/>
    <w:rsid w:val="2AEC7A8B"/>
    <w:rsid w:val="2B7E34FB"/>
    <w:rsid w:val="2D7116E5"/>
    <w:rsid w:val="2DA255FE"/>
    <w:rsid w:val="2E3E45A1"/>
    <w:rsid w:val="2E7A6874"/>
    <w:rsid w:val="2EEA4A0A"/>
    <w:rsid w:val="2FFE4D66"/>
    <w:rsid w:val="318B7346"/>
    <w:rsid w:val="326E6078"/>
    <w:rsid w:val="32B92018"/>
    <w:rsid w:val="32FA49E9"/>
    <w:rsid w:val="33541711"/>
    <w:rsid w:val="336E1416"/>
    <w:rsid w:val="33AE3B69"/>
    <w:rsid w:val="340D6D27"/>
    <w:rsid w:val="3437693D"/>
    <w:rsid w:val="348B4B08"/>
    <w:rsid w:val="35865884"/>
    <w:rsid w:val="365E2B13"/>
    <w:rsid w:val="36662DF4"/>
    <w:rsid w:val="370912C3"/>
    <w:rsid w:val="37175297"/>
    <w:rsid w:val="37305FF2"/>
    <w:rsid w:val="37727F99"/>
    <w:rsid w:val="37DF5322"/>
    <w:rsid w:val="383733B0"/>
    <w:rsid w:val="384A75E6"/>
    <w:rsid w:val="3877026F"/>
    <w:rsid w:val="38F9013C"/>
    <w:rsid w:val="395835DE"/>
    <w:rsid w:val="399D7242"/>
    <w:rsid w:val="39AF5FE9"/>
    <w:rsid w:val="39FA3512"/>
    <w:rsid w:val="3AFE4D0B"/>
    <w:rsid w:val="3B1F3AB2"/>
    <w:rsid w:val="3BDF268D"/>
    <w:rsid w:val="3CAD59EE"/>
    <w:rsid w:val="3D8B1E8D"/>
    <w:rsid w:val="3D994AD8"/>
    <w:rsid w:val="3DC904C3"/>
    <w:rsid w:val="3E0472BD"/>
    <w:rsid w:val="3E612608"/>
    <w:rsid w:val="3EC63024"/>
    <w:rsid w:val="3FBC7721"/>
    <w:rsid w:val="40674C75"/>
    <w:rsid w:val="40BE0F76"/>
    <w:rsid w:val="41EA576E"/>
    <w:rsid w:val="41F94279"/>
    <w:rsid w:val="42534FDE"/>
    <w:rsid w:val="437B38FF"/>
    <w:rsid w:val="438B0671"/>
    <w:rsid w:val="443E2B6A"/>
    <w:rsid w:val="445731CA"/>
    <w:rsid w:val="44B07F38"/>
    <w:rsid w:val="44B33DBE"/>
    <w:rsid w:val="44DE167D"/>
    <w:rsid w:val="45045908"/>
    <w:rsid w:val="45C5024D"/>
    <w:rsid w:val="45CA5C29"/>
    <w:rsid w:val="460D5FA4"/>
    <w:rsid w:val="46256F3D"/>
    <w:rsid w:val="46C01F5C"/>
    <w:rsid w:val="475260E9"/>
    <w:rsid w:val="47DB78B4"/>
    <w:rsid w:val="48605FFC"/>
    <w:rsid w:val="48B82C54"/>
    <w:rsid w:val="48DF4129"/>
    <w:rsid w:val="49222FBA"/>
    <w:rsid w:val="493C25D4"/>
    <w:rsid w:val="4A047B0B"/>
    <w:rsid w:val="4A471D3D"/>
    <w:rsid w:val="4A856F88"/>
    <w:rsid w:val="4A8A62E2"/>
    <w:rsid w:val="4B101F6A"/>
    <w:rsid w:val="4B86482C"/>
    <w:rsid w:val="4BDB7219"/>
    <w:rsid w:val="4C0D2C73"/>
    <w:rsid w:val="4C3E0A28"/>
    <w:rsid w:val="4C7818BA"/>
    <w:rsid w:val="4C8147A2"/>
    <w:rsid w:val="4CA66E29"/>
    <w:rsid w:val="4CD15729"/>
    <w:rsid w:val="4D3C4B28"/>
    <w:rsid w:val="4DAA780F"/>
    <w:rsid w:val="4E5E2FEC"/>
    <w:rsid w:val="4EF3729E"/>
    <w:rsid w:val="4FAE1D52"/>
    <w:rsid w:val="50216B97"/>
    <w:rsid w:val="50A20913"/>
    <w:rsid w:val="51042AB0"/>
    <w:rsid w:val="513D133E"/>
    <w:rsid w:val="52472FB7"/>
    <w:rsid w:val="529520A2"/>
    <w:rsid w:val="52C2541F"/>
    <w:rsid w:val="52E00474"/>
    <w:rsid w:val="54520F8C"/>
    <w:rsid w:val="5490706F"/>
    <w:rsid w:val="55EC35D4"/>
    <w:rsid w:val="56285300"/>
    <w:rsid w:val="56D847E2"/>
    <w:rsid w:val="570F696E"/>
    <w:rsid w:val="58136B7B"/>
    <w:rsid w:val="583C4AC8"/>
    <w:rsid w:val="58536B97"/>
    <w:rsid w:val="58A27F7A"/>
    <w:rsid w:val="5ADC27B4"/>
    <w:rsid w:val="5AE748BC"/>
    <w:rsid w:val="5BC25602"/>
    <w:rsid w:val="5D751BE8"/>
    <w:rsid w:val="5D9A4A19"/>
    <w:rsid w:val="5E58521D"/>
    <w:rsid w:val="5EA07F00"/>
    <w:rsid w:val="60F8107F"/>
    <w:rsid w:val="615D1755"/>
    <w:rsid w:val="628738B2"/>
    <w:rsid w:val="629F614E"/>
    <w:rsid w:val="637575FD"/>
    <w:rsid w:val="656E02B1"/>
    <w:rsid w:val="65E1396F"/>
    <w:rsid w:val="66303069"/>
    <w:rsid w:val="669344D6"/>
    <w:rsid w:val="66AE651C"/>
    <w:rsid w:val="66B0547D"/>
    <w:rsid w:val="66C37A39"/>
    <w:rsid w:val="67425F83"/>
    <w:rsid w:val="67FB3762"/>
    <w:rsid w:val="686457A3"/>
    <w:rsid w:val="691A7E9F"/>
    <w:rsid w:val="692965D9"/>
    <w:rsid w:val="69506D1F"/>
    <w:rsid w:val="69B53704"/>
    <w:rsid w:val="69E63454"/>
    <w:rsid w:val="6A201CBC"/>
    <w:rsid w:val="6AD77F57"/>
    <w:rsid w:val="6B695F6B"/>
    <w:rsid w:val="6BA13F14"/>
    <w:rsid w:val="6C791CEF"/>
    <w:rsid w:val="6CC10106"/>
    <w:rsid w:val="6D1050D7"/>
    <w:rsid w:val="6D130D54"/>
    <w:rsid w:val="6DBF42C1"/>
    <w:rsid w:val="6DFE3F10"/>
    <w:rsid w:val="6E510020"/>
    <w:rsid w:val="6E9A19C7"/>
    <w:rsid w:val="6EDA1ADE"/>
    <w:rsid w:val="6EF14731"/>
    <w:rsid w:val="6EF72086"/>
    <w:rsid w:val="6F504844"/>
    <w:rsid w:val="6FF636D6"/>
    <w:rsid w:val="702F4391"/>
    <w:rsid w:val="70722A8E"/>
    <w:rsid w:val="70B56A2A"/>
    <w:rsid w:val="70B86135"/>
    <w:rsid w:val="70E6353E"/>
    <w:rsid w:val="710F7FD7"/>
    <w:rsid w:val="71656E81"/>
    <w:rsid w:val="71886829"/>
    <w:rsid w:val="71DF5333"/>
    <w:rsid w:val="723904CF"/>
    <w:rsid w:val="72DA0A77"/>
    <w:rsid w:val="73D96A3A"/>
    <w:rsid w:val="74A23543"/>
    <w:rsid w:val="74DE6C5D"/>
    <w:rsid w:val="74EF75E6"/>
    <w:rsid w:val="75C17839"/>
    <w:rsid w:val="764E51CE"/>
    <w:rsid w:val="769262DE"/>
    <w:rsid w:val="76F624F3"/>
    <w:rsid w:val="76FF686B"/>
    <w:rsid w:val="786A03E5"/>
    <w:rsid w:val="78D8440E"/>
    <w:rsid w:val="791B500C"/>
    <w:rsid w:val="7A4F060E"/>
    <w:rsid w:val="7A72681F"/>
    <w:rsid w:val="7B2745E3"/>
    <w:rsid w:val="7B6D75F1"/>
    <w:rsid w:val="7B6E2211"/>
    <w:rsid w:val="7C3A2A38"/>
    <w:rsid w:val="7D95312C"/>
    <w:rsid w:val="7E7A7965"/>
    <w:rsid w:val="7E946B13"/>
    <w:rsid w:val="7EDD147D"/>
    <w:rsid w:val="7EFA1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3"/>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Plain Text"/>
    <w:basedOn w:val="1"/>
    <w:link w:val="21"/>
    <w:qFormat/>
    <w:uiPriority w:val="0"/>
    <w:rPr>
      <w:rFonts w:ascii="宋体" w:hAnsi="Courier New"/>
    </w:rPr>
  </w:style>
  <w:style w:type="paragraph" w:styleId="5">
    <w:name w:val="Date"/>
    <w:basedOn w:val="1"/>
    <w:next w:val="1"/>
    <w:qFormat/>
    <w:uiPriority w:val="0"/>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unhideWhenUsed/>
    <w:qFormat/>
    <w:uiPriority w:val="99"/>
    <w:rPr>
      <w:color w:val="0563C1"/>
      <w:u w:val="single"/>
    </w:rPr>
  </w:style>
  <w:style w:type="paragraph" w:customStyle="1" w:styleId="13">
    <w:name w:val="一级条标题"/>
    <w:basedOn w:val="1"/>
    <w:next w:val="1"/>
    <w:qFormat/>
    <w:uiPriority w:val="0"/>
    <w:pPr>
      <w:widowControl/>
      <w:tabs>
        <w:tab w:val="left" w:pos="720"/>
      </w:tabs>
      <w:ind w:left="720" w:hanging="720"/>
      <w:outlineLvl w:val="2"/>
    </w:pPr>
    <w:rPr>
      <w:rFonts w:hint="eastAsia" w:ascii="黑体" w:eastAsia="黑体"/>
      <w:kern w:val="0"/>
    </w:rPr>
  </w:style>
  <w:style w:type="paragraph" w:customStyle="1" w:styleId="14">
    <w:name w:val="二级条标题"/>
    <w:basedOn w:val="13"/>
    <w:next w:val="1"/>
    <w:qFormat/>
    <w:uiPriority w:val="0"/>
    <w:pPr>
      <w:ind w:left="0" w:firstLine="0"/>
      <w:outlineLvl w:val="3"/>
    </w:pPr>
    <w:rPr>
      <w:rFonts w:hint="default"/>
    </w:rPr>
  </w:style>
  <w:style w:type="character" w:customStyle="1" w:styleId="15">
    <w:name w:val="页眉 字符"/>
    <w:basedOn w:val="10"/>
    <w:link w:val="8"/>
    <w:qFormat/>
    <w:uiPriority w:val="99"/>
    <w:rPr>
      <w:rFonts w:ascii="Times New Roman" w:hAnsi="Times New Roman" w:eastAsia="宋体" w:cs="Times New Roman"/>
      <w:sz w:val="18"/>
      <w:szCs w:val="18"/>
    </w:rPr>
  </w:style>
  <w:style w:type="character" w:customStyle="1" w:styleId="16">
    <w:name w:val="页脚 字符"/>
    <w:basedOn w:val="10"/>
    <w:link w:val="7"/>
    <w:qFormat/>
    <w:uiPriority w:val="99"/>
    <w:rPr>
      <w:rFonts w:ascii="Times New Roman" w:hAnsi="Times New Roman" w:eastAsia="宋体" w:cs="Times New Roman"/>
      <w:sz w:val="18"/>
      <w:szCs w:val="18"/>
    </w:rPr>
  </w:style>
  <w:style w:type="character" w:customStyle="1" w:styleId="17">
    <w:name w:val="批注框文本 字符"/>
    <w:basedOn w:val="10"/>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ind w:firstLine="420" w:firstLineChars="200"/>
    </w:pPr>
    <w:rPr>
      <w:rFonts w:ascii="Calibri" w:hAnsi="Calibri"/>
      <w:sz w:val="24"/>
      <w:szCs w:val="22"/>
    </w:rPr>
  </w:style>
  <w:style w:type="paragraph" w:styleId="20">
    <w:name w:val="List Paragraph"/>
    <w:basedOn w:val="1"/>
    <w:qFormat/>
    <w:uiPriority w:val="99"/>
    <w:pPr>
      <w:ind w:firstLine="420" w:firstLineChars="200"/>
    </w:pPr>
  </w:style>
  <w:style w:type="character" w:customStyle="1" w:styleId="21">
    <w:name w:val="纯文本 字符"/>
    <w:basedOn w:val="10"/>
    <w:link w:val="4"/>
    <w:qFormat/>
    <w:uiPriority w:val="0"/>
    <w:rPr>
      <w:rFonts w:ascii="宋体" w:hAnsi="Courier New" w:eastAsia="宋体" w:cs="Times New Roman"/>
      <w:kern w:val="2"/>
      <w:sz w:val="21"/>
    </w:rPr>
  </w:style>
  <w:style w:type="paragraph" w:customStyle="1" w:styleId="22">
    <w:name w:val="表格文字"/>
    <w:basedOn w:val="1"/>
    <w:qFormat/>
    <w:uiPriority w:val="0"/>
    <w:pPr>
      <w:spacing w:before="25" w:after="25"/>
    </w:pPr>
    <w:rPr>
      <w:bCs/>
      <w:spacing w:val="10"/>
    </w:rPr>
  </w:style>
  <w:style w:type="paragraph" w:customStyle="1" w:styleId="23">
    <w:name w:val="yz节"/>
    <w:next w:val="1"/>
    <w:qFormat/>
    <w:uiPriority w:val="0"/>
    <w:pPr>
      <w:widowControl w:val="0"/>
      <w:spacing w:before="120" w:after="120"/>
    </w:pPr>
    <w:rPr>
      <w:rFonts w:ascii="宋体" w:hAnsi="Times New Roman" w:eastAsia="宋体" w:cs="Times New Roman"/>
      <w:b/>
      <w:sz w:val="21"/>
      <w:lang w:val="en-US" w:eastAsia="zh-CN" w:bidi="ar-SA"/>
    </w:rPr>
  </w:style>
  <w:style w:type="paragraph" w:customStyle="1" w:styleId="24">
    <w:name w:val="Plain Text"/>
    <w:basedOn w:val="1"/>
    <w:qFormat/>
    <w:uiPriority w:val="0"/>
    <w:pPr>
      <w:adjustRightInd w:val="0"/>
      <w:textAlignment w:val="baseline"/>
    </w:pPr>
    <w:rPr>
      <w:rFonts w:ascii="宋体" w:hAnsi="Courier New"/>
      <w:szCs w:val="20"/>
    </w:rPr>
  </w:style>
  <w:style w:type="paragraph" w:customStyle="1" w:styleId="25">
    <w:name w:val="1阶"/>
    <w:basedOn w:val="1"/>
    <w:qFormat/>
    <w:uiPriority w:val="0"/>
    <w:pPr>
      <w:snapToGrid w:val="0"/>
      <w:spacing w:line="360" w:lineRule="auto"/>
      <w:ind w:left="284" w:hanging="284"/>
      <w:outlineLvl w:val="0"/>
    </w:pPr>
    <w:rPr>
      <w:rFonts w:ascii="Arial" w:hAnsi="Arial"/>
      <w:kern w:val="144"/>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1480</Words>
  <Characters>8438</Characters>
  <Lines>70</Lines>
  <Paragraphs>19</Paragraphs>
  <TotalTime>8</TotalTime>
  <ScaleCrop>false</ScaleCrop>
  <LinksUpToDate>false</LinksUpToDate>
  <CharactersWithSpaces>9899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2022-10-04T11:26:46Z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3D48348EB24E4EF79C3D53949CF354F3</vt:lpwstr>
  </property>
</Properties>
</file>