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0562-2022-O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浙江创鑫木业有限公司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2022年09月07日 上午至2022年09月07日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b/>
                <w:color w:val="000000"/>
                <w:szCs w:val="21"/>
                <w:lang w:val="de-DE"/>
              </w:rPr>
              <w:t>■</w:t>
            </w:r>
            <w:r>
              <w:rPr>
                <w:rFonts w:hint="eastAsia" w:ascii="宋体" w:hAnsi="宋体"/>
                <w:b/>
                <w:color w:val="000000"/>
                <w:szCs w:val="21"/>
                <w:lang w:val="en-US" w:eastAsia="zh-CN"/>
              </w:rPr>
              <w:t>现场结合远程</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val="0"/>
                <w:color w:val="auto"/>
                <w:szCs w:val="21"/>
              </w:rPr>
            </w:pPr>
            <w:r>
              <w:rPr>
                <w:rFonts w:hint="eastAsia" w:cs="Arial"/>
                <w:b/>
                <w:bCs w:val="0"/>
                <w:color w:val="auto"/>
                <w:szCs w:val="21"/>
              </w:rPr>
              <w:t>审核地址（含远程）</w:t>
            </w:r>
          </w:p>
        </w:tc>
        <w:tc>
          <w:tcPr>
            <w:tcW w:w="7431" w:type="dxa"/>
            <w:tcMar>
              <w:left w:w="113" w:type="dxa"/>
            </w:tcMar>
          </w:tcPr>
          <w:p>
            <w:pPr>
              <w:rPr>
                <w:rFonts w:ascii="宋体"/>
                <w:b/>
                <w:bCs w:val="0"/>
                <w:color w:val="auto"/>
                <w:szCs w:val="21"/>
              </w:rPr>
            </w:pPr>
            <w:r>
              <w:rPr>
                <w:b/>
                <w:bCs w:val="0"/>
                <w:color w:val="auto"/>
                <w:sz w:val="21"/>
                <w:szCs w:val="21"/>
              </w:rPr>
              <w:t>浙江省湖州市南浔经济开发区新城西路777号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bCs w:val="0"/>
                <w:color w:val="auto"/>
                <w:szCs w:val="21"/>
              </w:rPr>
            </w:pPr>
            <w:r>
              <w:rPr>
                <w:rFonts w:hint="eastAsia" w:ascii="宋体"/>
                <w:b/>
                <w:bCs w:val="0"/>
                <w:color w:val="auto"/>
                <w:szCs w:val="21"/>
              </w:rPr>
              <w:t>远程审核方式</w:t>
            </w:r>
          </w:p>
        </w:tc>
        <w:tc>
          <w:tcPr>
            <w:tcW w:w="7431" w:type="dxa"/>
            <w:tcMar>
              <w:left w:w="113" w:type="dxa"/>
            </w:tcMar>
            <w:vAlign w:val="bottom"/>
          </w:tcPr>
          <w:p>
            <w:pPr>
              <w:rPr>
                <w:rFonts w:ascii="宋体"/>
                <w:b/>
                <w:bCs w:val="0"/>
                <w:color w:val="auto"/>
                <w:szCs w:val="21"/>
              </w:rPr>
            </w:pPr>
            <w:r>
              <w:rPr>
                <w:rFonts w:hint="eastAsia" w:ascii="宋体"/>
                <w:b/>
                <w:bCs w:val="0"/>
                <w:color w:val="auto"/>
                <w:szCs w:val="21"/>
              </w:rPr>
              <w:t>□音频</w:t>
            </w:r>
            <w:r>
              <w:rPr>
                <w:rFonts w:hint="eastAsia" w:ascii="宋体" w:hAnsi="宋体"/>
                <w:b/>
                <w:bCs w:val="0"/>
                <w:color w:val="auto"/>
                <w:szCs w:val="21"/>
                <w:lang w:val="de-DE"/>
              </w:rPr>
              <w:t>■</w:t>
            </w:r>
            <w:r>
              <w:rPr>
                <w:rFonts w:hint="eastAsia" w:ascii="宋体"/>
                <w:b/>
                <w:bCs w:val="0"/>
                <w:color w:val="auto"/>
                <w:szCs w:val="21"/>
              </w:rPr>
              <w:t>视频</w:t>
            </w:r>
            <w:r>
              <w:rPr>
                <w:rFonts w:hint="eastAsia" w:ascii="宋体" w:hAnsi="宋体"/>
                <w:b/>
                <w:bCs w:val="0"/>
                <w:color w:val="auto"/>
                <w:szCs w:val="21"/>
                <w:lang w:val="de-DE"/>
              </w:rPr>
              <w:t>■</w:t>
            </w:r>
            <w:r>
              <w:rPr>
                <w:rFonts w:hint="eastAsia" w:ascii="宋体"/>
                <w:b/>
                <w:bCs w:val="0"/>
                <w:color w:val="auto"/>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bCs w:val="0"/>
                <w:color w:val="auto"/>
                <w:szCs w:val="21"/>
              </w:rPr>
            </w:pPr>
            <w:r>
              <w:rPr>
                <w:rFonts w:hint="eastAsia" w:ascii="宋体"/>
                <w:b/>
                <w:bCs w:val="0"/>
                <w:color w:val="auto"/>
                <w:szCs w:val="21"/>
              </w:rPr>
              <w:t>信息安全的控制</w:t>
            </w:r>
          </w:p>
        </w:tc>
        <w:tc>
          <w:tcPr>
            <w:tcW w:w="7431" w:type="dxa"/>
            <w:tcMar>
              <w:left w:w="113" w:type="dxa"/>
            </w:tcMar>
            <w:vAlign w:val="bottom"/>
          </w:tcPr>
          <w:p>
            <w:pPr>
              <w:rPr>
                <w:rFonts w:ascii="宋体"/>
                <w:b/>
                <w:bCs w:val="0"/>
                <w:color w:val="auto"/>
                <w:szCs w:val="21"/>
              </w:rPr>
            </w:pPr>
            <w:r>
              <w:rPr>
                <w:rFonts w:hint="eastAsia" w:ascii="宋体" w:hAnsi="宋体"/>
                <w:b/>
                <w:bCs w:val="0"/>
                <w:color w:val="auto"/>
                <w:szCs w:val="21"/>
                <w:lang w:val="de-DE"/>
              </w:rPr>
              <w:t>■</w:t>
            </w:r>
            <w:r>
              <w:rPr>
                <w:rFonts w:hint="eastAsia" w:ascii="宋体"/>
                <w:b/>
                <w:bCs w:val="0"/>
                <w:color w:val="auto"/>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bCs w:val="0"/>
                <w:color w:val="auto"/>
                <w:szCs w:val="21"/>
              </w:rPr>
            </w:pPr>
            <w:r>
              <w:rPr>
                <w:rFonts w:hint="eastAsia" w:ascii="宋体"/>
                <w:b/>
                <w:bCs w:val="0"/>
                <w:color w:val="auto"/>
                <w:szCs w:val="21"/>
              </w:rPr>
              <w:t>远程审核资源</w:t>
            </w:r>
          </w:p>
        </w:tc>
        <w:tc>
          <w:tcPr>
            <w:tcW w:w="7431" w:type="dxa"/>
            <w:tcMar>
              <w:left w:w="113" w:type="dxa"/>
            </w:tcMar>
            <w:vAlign w:val="bottom"/>
          </w:tcPr>
          <w:p>
            <w:pPr>
              <w:rPr>
                <w:rFonts w:ascii="宋体"/>
                <w:b/>
                <w:bCs w:val="0"/>
                <w:color w:val="auto"/>
                <w:szCs w:val="21"/>
              </w:rPr>
            </w:pPr>
            <w:r>
              <w:rPr>
                <w:rFonts w:hint="eastAsia" w:ascii="宋体" w:hAnsi="宋体"/>
                <w:b/>
                <w:bCs w:val="0"/>
                <w:color w:val="auto"/>
                <w:szCs w:val="21"/>
                <w:lang w:val="de-DE"/>
              </w:rPr>
              <w:t>■</w:t>
            </w:r>
            <w:r>
              <w:rPr>
                <w:rFonts w:hint="eastAsia" w:ascii="宋体"/>
                <w:b/>
                <w:bCs w:val="0"/>
                <w:color w:val="auto"/>
                <w:szCs w:val="21"/>
              </w:rPr>
              <w:t>网络</w:t>
            </w:r>
            <w:r>
              <w:rPr>
                <w:rFonts w:hint="eastAsia" w:ascii="宋体" w:hAnsi="宋体"/>
                <w:b/>
                <w:bCs w:val="0"/>
                <w:color w:val="auto"/>
                <w:szCs w:val="21"/>
                <w:lang w:val="de-DE"/>
              </w:rPr>
              <w:t>■</w:t>
            </w:r>
            <w:r>
              <w:rPr>
                <w:rFonts w:hint="eastAsia" w:ascii="宋体"/>
                <w:b/>
                <w:bCs w:val="0"/>
                <w:color w:val="auto"/>
                <w:szCs w:val="21"/>
              </w:rPr>
              <w:t>智能手机□手持设备</w:t>
            </w:r>
            <w:r>
              <w:rPr>
                <w:rFonts w:hint="eastAsia" w:ascii="宋体" w:hAnsi="宋体"/>
                <w:b/>
                <w:bCs w:val="0"/>
                <w:color w:val="auto"/>
                <w:szCs w:val="21"/>
                <w:lang w:val="de-DE"/>
              </w:rPr>
              <w:t>■</w:t>
            </w:r>
            <w:r>
              <w:rPr>
                <w:rFonts w:hint="eastAsia" w:ascii="宋体"/>
                <w:b/>
                <w:bCs w:val="0"/>
                <w:color w:val="auto"/>
                <w:szCs w:val="21"/>
              </w:rPr>
              <w:t>笔记本电脑□台式电脑□无人机□摄像机□可穿戴技术□人工智能□其他</w:t>
            </w:r>
          </w:p>
          <w:p>
            <w:pPr>
              <w:rPr>
                <w:rFonts w:ascii="宋体"/>
                <w:b/>
                <w:bCs w:val="0"/>
                <w:color w:val="auto"/>
                <w:szCs w:val="21"/>
              </w:rPr>
            </w:pPr>
          </w:p>
          <w:p>
            <w:pPr>
              <w:rPr>
                <w:rFonts w:ascii="宋体"/>
                <w:b/>
                <w:bCs w:val="0"/>
                <w:color w:val="auto"/>
                <w:szCs w:val="21"/>
              </w:rPr>
            </w:pPr>
          </w:p>
          <w:p>
            <w:pPr>
              <w:rPr>
                <w:rFonts w:ascii="宋体"/>
                <w:b/>
                <w:bCs w:val="0"/>
                <w:color w:val="auto"/>
                <w:szCs w:val="21"/>
              </w:rPr>
            </w:pPr>
          </w:p>
          <w:p>
            <w:pPr>
              <w:rPr>
                <w:rFonts w:ascii="宋体"/>
                <w:b/>
                <w:bCs w:val="0"/>
                <w:color w:val="auto"/>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王献华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2021-N1OHSMS-1244982</w:t>
            </w:r>
          </w:p>
        </w:tc>
        <w:tc>
          <w:tcPr>
            <w:tcW w:w="1140" w:type="dxa"/>
            <w:vAlign w:val="center"/>
          </w:tcPr>
          <w:p>
            <w:pPr>
              <w:spacing w:line="240" w:lineRule="exact"/>
              <w:jc w:val="center"/>
              <w:rPr>
                <w:b/>
                <w:color w:val="000000"/>
                <w:szCs w:val="21"/>
              </w:rPr>
            </w:pPr>
            <w:r>
              <w:rPr>
                <w:b/>
                <w:color w:val="000000"/>
                <w:szCs w:val="21"/>
              </w:rPr>
              <w:t>29.11.03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方继欣</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ISC-JSZJ-135</w:t>
            </w:r>
          </w:p>
          <w:p>
            <w:pPr>
              <w:spacing w:line="240" w:lineRule="exact"/>
              <w:jc w:val="center"/>
              <w:rPr>
                <w:b/>
                <w:color w:val="000000"/>
                <w:szCs w:val="21"/>
              </w:rPr>
            </w:pPr>
            <w:r>
              <w:rPr>
                <w:b/>
                <w:color w:val="000000"/>
                <w:szCs w:val="21"/>
              </w:rPr>
              <w:t>浙江森林之星文化地板有限公司</w:t>
            </w:r>
          </w:p>
        </w:tc>
        <w:tc>
          <w:tcPr>
            <w:tcW w:w="1140" w:type="dxa"/>
            <w:vAlign w:val="center"/>
          </w:tcPr>
          <w:p>
            <w:pPr>
              <w:spacing w:line="240" w:lineRule="exact"/>
              <w:jc w:val="center"/>
              <w:rPr>
                <w:b/>
                <w:color w:val="000000"/>
                <w:szCs w:val="21"/>
              </w:rPr>
            </w:pPr>
            <w:r>
              <w:rPr>
                <w:b/>
                <w:color w:val="000000"/>
                <w:szCs w:val="21"/>
              </w:rPr>
              <w:t>06.02.02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林兵</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2022-N1OHSMS-3059501</w:t>
            </w:r>
          </w:p>
        </w:tc>
        <w:tc>
          <w:tcPr>
            <w:tcW w:w="1140" w:type="dxa"/>
            <w:vAlign w:val="center"/>
          </w:tcPr>
          <w:p>
            <w:pPr>
              <w:spacing w:line="240" w:lineRule="exact"/>
              <w:jc w:val="center"/>
              <w:rPr>
                <w:b/>
                <w:color w:val="000000"/>
                <w:szCs w:val="21"/>
              </w:rPr>
            </w:pPr>
            <w:r>
              <w:rPr>
                <w:b/>
                <w:color w:val="000000"/>
                <w:szCs w:val="21"/>
              </w:rPr>
              <w:t>29.11.03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浙江创鑫木业有限公司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浙江省湖州市南浔经济开发区新城西路777号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313009</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浙江省湖州市南浔经济开发区新城西路777号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313009</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朱卫忠</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15757216586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胡建潮</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朱卫忠</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sz w:val="21"/>
                <w:szCs w:val="21"/>
              </w:rPr>
              <w:t>实木地板、实木复合地板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eastAsia="宋体" w:cs="宋体"/>
                <w:b w:val="0"/>
                <w:bCs w:val="0"/>
                <w:color w:val="000000"/>
                <w:kern w:val="0"/>
                <w:sz w:val="19"/>
                <w:szCs w:val="19"/>
                <w:lang w:val="en-US" w:eastAsia="zh-CN" w:bidi="ar"/>
              </w:rPr>
              <w:t>原料→开槽→涂刷→出库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bookmarkStart w:id="35" w:name="审核范围"/>
            <w:r>
              <w:rPr>
                <w:sz w:val="21"/>
                <w:szCs w:val="21"/>
              </w:rPr>
              <w:t>实木地板、实木复合地板的设计、生产；浸渍纸层压木质地板的销售所涉及场所的相关职业健康安全管理活动</w:t>
            </w:r>
            <w:bookmarkEnd w:id="35"/>
          </w:p>
        </w:tc>
        <w:tc>
          <w:tcPr>
            <w:tcW w:w="2006" w:type="dxa"/>
            <w:gridSpan w:val="3"/>
            <w:vAlign w:val="center"/>
          </w:tcPr>
          <w:p>
            <w:pPr>
              <w:spacing w:line="400" w:lineRule="exact"/>
              <w:rPr>
                <w:rFonts w:ascii="宋体" w:hAnsi="宋体"/>
                <w:b/>
                <w:color w:val="000000"/>
                <w:szCs w:val="21"/>
              </w:rPr>
            </w:pPr>
            <w:bookmarkStart w:id="36" w:name="专业代码"/>
            <w:r>
              <w:rPr>
                <w:sz w:val="21"/>
                <w:szCs w:val="21"/>
              </w:rPr>
              <w:t>06.02.02</w:t>
            </w:r>
            <w:r>
              <w:rPr>
                <w:rFonts w:hint="eastAsia"/>
                <w:sz w:val="21"/>
                <w:szCs w:val="21"/>
                <w:lang w:eastAsia="zh-CN"/>
              </w:rPr>
              <w:t>；</w:t>
            </w:r>
            <w:r>
              <w:rPr>
                <w:sz w:val="21"/>
                <w:szCs w:val="21"/>
              </w:rPr>
              <w:t>29.11.03</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34"/>
        <w:gridCol w:w="510"/>
        <w:gridCol w:w="2960"/>
        <w:gridCol w:w="100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34"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1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96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00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浙江创鑫木业有限公司</w:t>
            </w:r>
            <w:r>
              <w:rPr>
                <w:rFonts w:hint="eastAsia"/>
                <w:sz w:val="21"/>
                <w:szCs w:val="21"/>
                <w:lang w:val="en-US" w:eastAsia="zh-CN"/>
              </w:rPr>
              <w:t>/</w:t>
            </w:r>
            <w:r>
              <w:rPr>
                <w:sz w:val="21"/>
                <w:szCs w:val="21"/>
              </w:rPr>
              <w:t>浙江省湖州市南浔经济开发区新城西路777号</w:t>
            </w:r>
          </w:p>
        </w:tc>
        <w:tc>
          <w:tcPr>
            <w:tcW w:w="1834" w:type="dxa"/>
          </w:tcPr>
          <w:p>
            <w:pPr>
              <w:spacing w:before="40" w:after="40"/>
              <w:rPr>
                <w:rFonts w:eastAsia="黑体"/>
                <w:szCs w:val="21"/>
                <w:lang w:val="de-DE" w:eastAsia="ja-JP"/>
              </w:rPr>
            </w:pPr>
            <w:r>
              <w:rPr>
                <w:sz w:val="21"/>
                <w:szCs w:val="21"/>
              </w:rPr>
              <w:t>浙江省湖州市南浔经济开发区新城西路777号</w:t>
            </w:r>
          </w:p>
        </w:tc>
        <w:tc>
          <w:tcPr>
            <w:tcW w:w="510" w:type="dxa"/>
            <w:vAlign w:val="center"/>
          </w:tcPr>
          <w:p>
            <w:pPr>
              <w:spacing w:before="40" w:after="40"/>
              <w:rPr>
                <w:rFonts w:hint="default" w:eastAsia="黑体"/>
                <w:szCs w:val="21"/>
                <w:lang w:val="en-US" w:eastAsia="zh-CN"/>
              </w:rPr>
            </w:pPr>
            <w:r>
              <w:rPr>
                <w:rFonts w:hint="eastAsia" w:eastAsia="黑体"/>
                <w:szCs w:val="21"/>
                <w:lang w:val="en-US" w:eastAsia="zh-CN"/>
              </w:rPr>
              <w:t>85</w:t>
            </w:r>
          </w:p>
        </w:tc>
        <w:tc>
          <w:tcPr>
            <w:tcW w:w="2960" w:type="dxa"/>
            <w:vAlign w:val="center"/>
          </w:tcPr>
          <w:p>
            <w:pPr>
              <w:pStyle w:val="19"/>
              <w:rPr>
                <w:rFonts w:eastAsia="黑体" w:cs="Arial"/>
                <w:sz w:val="21"/>
                <w:szCs w:val="21"/>
                <w:lang w:val="en-US" w:eastAsia="ja-JP"/>
              </w:rPr>
            </w:pPr>
            <w:r>
              <w:rPr>
                <w:sz w:val="21"/>
                <w:szCs w:val="21"/>
              </w:rPr>
              <w:t>实木地板、实木复合地板的设计、生产；浸渍纸层压木质地板的销售所涉及场所的相关职业健康安全管理活动</w:t>
            </w:r>
          </w:p>
        </w:tc>
        <w:tc>
          <w:tcPr>
            <w:tcW w:w="1006" w:type="dxa"/>
            <w:vAlign w:val="center"/>
          </w:tcPr>
          <w:p>
            <w:pPr>
              <w:spacing w:before="40" w:after="40"/>
              <w:rPr>
                <w:rFonts w:eastAsia="黑体"/>
                <w:szCs w:val="21"/>
                <w:lang w:eastAsia="ja-JP"/>
              </w:rPr>
            </w:pPr>
            <w:r>
              <w:rPr>
                <w:rFonts w:hint="eastAsia" w:ascii="宋体" w:hAnsi="宋体"/>
                <w:b/>
                <w:color w:val="000000"/>
                <w:szCs w:val="21"/>
                <w:lang w:val="de-DE"/>
              </w:rPr>
              <w:t>■ISO45001：2018</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eastAsia="黑体"/>
                    <w:szCs w:val="21"/>
                    <w:lang w:val="en-US"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834" w:type="dxa"/>
            <w:vAlign w:val="center"/>
          </w:tcPr>
          <w:p>
            <w:pPr>
              <w:spacing w:before="40" w:after="40"/>
              <w:rPr>
                <w:rFonts w:eastAsia="黑体"/>
                <w:szCs w:val="21"/>
                <w:lang w:eastAsia="ja-JP"/>
              </w:rPr>
            </w:pPr>
          </w:p>
        </w:tc>
        <w:tc>
          <w:tcPr>
            <w:tcW w:w="510" w:type="dxa"/>
            <w:vAlign w:val="center"/>
          </w:tcPr>
          <w:p>
            <w:pPr>
              <w:spacing w:before="40" w:after="40"/>
              <w:rPr>
                <w:rFonts w:eastAsia="黑体"/>
                <w:szCs w:val="21"/>
                <w:lang w:eastAsia="ja-JP"/>
              </w:rPr>
            </w:pPr>
          </w:p>
        </w:tc>
        <w:tc>
          <w:tcPr>
            <w:tcW w:w="2960" w:type="dxa"/>
            <w:vAlign w:val="center"/>
          </w:tcPr>
          <w:p>
            <w:pPr>
              <w:spacing w:before="40" w:after="40"/>
              <w:rPr>
                <w:rFonts w:eastAsia="黑体"/>
                <w:szCs w:val="21"/>
                <w:lang w:eastAsia="ja-JP"/>
              </w:rPr>
            </w:pPr>
          </w:p>
        </w:tc>
        <w:tc>
          <w:tcPr>
            <w:tcW w:w="1006"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hint="eastAsia" w:ascii="宋体" w:hAnsi="宋体"/>
                <w:color w:val="000000"/>
                <w:spacing w:val="-10"/>
                <w:szCs w:val="21"/>
                <w:lang w:eastAsia="zh-CN"/>
              </w:rPr>
              <w:t>的</w:t>
            </w:r>
            <w:r>
              <w:rPr>
                <w:rFonts w:hint="eastAsia" w:ascii="宋体" w:hAnsi="宋体"/>
                <w:color w:val="000000"/>
                <w:spacing w:val="-10"/>
                <w:szCs w:val="21"/>
              </w:rPr>
              <w:t>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u w:val="single"/>
                <w:lang w:val="en-US" w:eastAsia="zh-CN"/>
              </w:rPr>
              <w:t>-7日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w:t>
            </w:r>
            <w:r>
              <w:rPr>
                <w:rFonts w:hint="eastAsia" w:ascii="宋体"/>
                <w:b/>
                <w:color w:val="000000"/>
                <w:szCs w:val="21"/>
                <w:lang w:val="en-US" w:eastAsia="zh-CN"/>
              </w:rPr>
              <w:t>.</w:t>
            </w:r>
            <w:r>
              <w:rPr>
                <w:rFonts w:hint="eastAsia" w:ascii="宋体"/>
                <w:b/>
                <w:color w:val="000000"/>
                <w:szCs w:val="21"/>
              </w:rPr>
              <w:t>9</w:t>
            </w:r>
            <w:r>
              <w:rPr>
                <w:rFonts w:hint="eastAsia" w:ascii="宋体"/>
                <w:b/>
                <w:color w:val="000000"/>
                <w:szCs w:val="21"/>
                <w:lang w:val="en-US" w:eastAsia="zh-CN"/>
              </w:rPr>
              <w:t>.</w:t>
            </w:r>
            <w:bookmarkEnd w:id="37"/>
            <w:r>
              <w:rPr>
                <w:rFonts w:hint="eastAsia" w:ascii="宋体"/>
                <w:b/>
                <w:color w:val="000000"/>
                <w:szCs w:val="21"/>
                <w:lang w:val="en-US" w:eastAsia="zh-CN"/>
              </w:rPr>
              <w:t>8上午至2022.9.9下午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7" w:hRule="atLeast"/>
          <w:jc w:val="center"/>
        </w:trPr>
        <w:tc>
          <w:tcPr>
            <w:tcW w:w="9615"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615"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393" w:hRule="exact"/>
          <w:jc w:val="center"/>
        </w:trPr>
        <w:tc>
          <w:tcPr>
            <w:tcW w:w="2373" w:type="dxa"/>
            <w:vAlign w:val="center"/>
          </w:tcPr>
          <w:p>
            <w:pPr>
              <w:rPr>
                <w:rFonts w:ascii="宋体"/>
                <w:b/>
                <w:color w:val="auto"/>
                <w:szCs w:val="21"/>
              </w:rPr>
            </w:pPr>
            <w:r>
              <w:rPr>
                <w:rFonts w:hint="eastAsia" w:ascii="宋体"/>
                <w:b/>
                <w:color w:val="auto"/>
                <w:szCs w:val="21"/>
              </w:rPr>
              <w:t>可能降低可靠性的障碍</w:t>
            </w:r>
          </w:p>
        </w:tc>
        <w:tc>
          <w:tcPr>
            <w:tcW w:w="7242" w:type="dxa"/>
            <w:tcMar>
              <w:left w:w="113" w:type="dxa"/>
            </w:tcMar>
            <w:vAlign w:val="center"/>
          </w:tcPr>
          <w:p>
            <w:pPr>
              <w:rPr>
                <w:rFonts w:ascii="宋体"/>
                <w:b/>
                <w:color w:val="auto"/>
                <w:szCs w:val="21"/>
              </w:rPr>
            </w:pPr>
            <w:r>
              <w:rPr>
                <w:rFonts w:hint="eastAsia" w:ascii="宋体"/>
                <w:b/>
                <w:color w:val="auto"/>
                <w:szCs w:val="21"/>
              </w:rPr>
              <w:sym w:font="Wingdings 2" w:char="0052"/>
            </w:r>
            <w:r>
              <w:rPr>
                <w:rFonts w:hint="eastAsia" w:ascii="宋体"/>
                <w:b/>
                <w:color w:val="auto"/>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393" w:hRule="exact"/>
          <w:jc w:val="center"/>
        </w:trPr>
        <w:tc>
          <w:tcPr>
            <w:tcW w:w="2373" w:type="dxa"/>
            <w:vAlign w:val="center"/>
          </w:tcPr>
          <w:p>
            <w:pPr>
              <w:rPr>
                <w:rFonts w:ascii="宋体"/>
                <w:b/>
                <w:color w:val="auto"/>
                <w:szCs w:val="21"/>
              </w:rPr>
            </w:pPr>
            <w:r>
              <w:rPr>
                <w:rFonts w:hint="eastAsia" w:ascii="宋体"/>
                <w:b/>
                <w:color w:val="auto"/>
                <w:szCs w:val="21"/>
              </w:rPr>
              <w:t>突发事件的情况</w:t>
            </w:r>
          </w:p>
        </w:tc>
        <w:tc>
          <w:tcPr>
            <w:tcW w:w="7242" w:type="dxa"/>
            <w:tcMar>
              <w:left w:w="113" w:type="dxa"/>
            </w:tcMar>
            <w:vAlign w:val="center"/>
          </w:tcPr>
          <w:p>
            <w:pPr>
              <w:rPr>
                <w:rFonts w:ascii="宋体"/>
                <w:b/>
                <w:color w:val="auto"/>
                <w:szCs w:val="21"/>
              </w:rPr>
            </w:pPr>
            <w:r>
              <w:rPr>
                <w:rFonts w:hint="eastAsia" w:ascii="宋体"/>
                <w:b/>
                <w:color w:val="auto"/>
                <w:szCs w:val="21"/>
              </w:rPr>
              <w:sym w:font="Wingdings 2" w:char="0052"/>
            </w:r>
            <w:r>
              <w:rPr>
                <w:rFonts w:hint="eastAsia" w:ascii="宋体"/>
                <w:b/>
                <w:color w:val="auto"/>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604" w:hRule="exact"/>
          <w:jc w:val="center"/>
        </w:trPr>
        <w:tc>
          <w:tcPr>
            <w:tcW w:w="2373" w:type="dxa"/>
            <w:vAlign w:val="center"/>
          </w:tcPr>
          <w:p>
            <w:pPr>
              <w:rPr>
                <w:rFonts w:ascii="宋体"/>
                <w:b/>
                <w:color w:val="auto"/>
                <w:szCs w:val="21"/>
              </w:rPr>
            </w:pPr>
            <w:r>
              <w:rPr>
                <w:rFonts w:hint="eastAsia" w:ascii="宋体"/>
                <w:b/>
                <w:color w:val="auto"/>
                <w:szCs w:val="21"/>
              </w:rPr>
              <w:t>突发事件的处置措施</w:t>
            </w:r>
          </w:p>
        </w:tc>
        <w:tc>
          <w:tcPr>
            <w:tcW w:w="7242" w:type="dxa"/>
            <w:tcMar>
              <w:left w:w="113" w:type="dxa"/>
            </w:tcMar>
            <w:vAlign w:val="center"/>
          </w:tcPr>
          <w:p>
            <w:pPr>
              <w:rPr>
                <w:rFonts w:ascii="宋体"/>
                <w:b/>
                <w:color w:val="auto"/>
                <w:szCs w:val="21"/>
              </w:rPr>
            </w:pPr>
            <w:r>
              <w:rPr>
                <w:rFonts w:hint="eastAsia" w:ascii="宋体"/>
                <w:b/>
                <w:color w:val="auto"/>
                <w:szCs w:val="21"/>
              </w:rPr>
              <w:t>□中止审核□终止审核□延迟审核□改为现场审核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312" w:hRule="atLeast"/>
          <w:jc w:val="center"/>
        </w:trPr>
        <w:tc>
          <w:tcPr>
            <w:tcW w:w="9615" w:type="dxa"/>
            <w:gridSpan w:val="2"/>
            <w:shd w:val="clear" w:color="auto" w:fill="auto"/>
          </w:tcPr>
          <w:p>
            <w:pPr>
              <w:rPr>
                <w:rFonts w:ascii="宋体"/>
                <w:b/>
                <w:color w:val="auto"/>
                <w:szCs w:val="21"/>
              </w:rPr>
            </w:pPr>
            <w:r>
              <w:rPr>
                <w:rFonts w:hint="eastAsia" w:ascii="宋体"/>
                <w:b/>
                <w:color w:val="auto"/>
                <w:szCs w:val="21"/>
              </w:rPr>
              <w:sym w:font="Wingdings 2" w:char="0052"/>
            </w:r>
            <w:r>
              <w:rPr>
                <w:rFonts w:hint="eastAsia" w:ascii="宋体"/>
                <w:b/>
                <w:color w:val="auto"/>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312" w:hRule="atLeast"/>
          <w:jc w:val="center"/>
        </w:trPr>
        <w:tc>
          <w:tcPr>
            <w:tcW w:w="9615" w:type="dxa"/>
            <w:gridSpan w:val="2"/>
            <w:shd w:val="clear" w:color="auto" w:fill="auto"/>
          </w:tcPr>
          <w:p>
            <w:pPr>
              <w:rPr>
                <w:rFonts w:ascii="宋体"/>
                <w:b/>
                <w:color w:val="auto"/>
                <w:szCs w:val="21"/>
              </w:rPr>
            </w:pPr>
            <w:r>
              <w:rPr>
                <w:rFonts w:hint="eastAsia" w:ascii="宋体"/>
                <w:b/>
                <w:color w:val="auto"/>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kern w:val="0"/>
          <w:sz w:val="24"/>
        </w:rPr>
        <w:drawing>
          <wp:anchor distT="0" distB="0" distL="114300" distR="114300" simplePos="0" relativeHeight="251664384" behindDoc="0" locked="0" layoutInCell="1" allowOverlap="1">
            <wp:simplePos x="0" y="0"/>
            <wp:positionH relativeFrom="column">
              <wp:posOffset>1778635</wp:posOffset>
            </wp:positionH>
            <wp:positionV relativeFrom="paragraph">
              <wp:posOffset>243840</wp:posOffset>
            </wp:positionV>
            <wp:extent cx="744855" cy="486410"/>
            <wp:effectExtent l="0" t="0" r="4445" b="8890"/>
            <wp:wrapSquare wrapText="bothSides"/>
            <wp:docPr id="5" name="图片 3" descr="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透明底"/>
                    <pic:cNvPicPr>
                      <a:picLocks noChangeAspect="1"/>
                    </pic:cNvPicPr>
                  </pic:nvPicPr>
                  <pic:blipFill>
                    <a:blip r:embed="rId6"/>
                    <a:stretch>
                      <a:fillRect/>
                    </a:stretch>
                  </pic:blipFill>
                  <pic:spPr>
                    <a:xfrm>
                      <a:off x="0" y="0"/>
                      <a:ext cx="744855" cy="486410"/>
                    </a:xfrm>
                    <a:prstGeom prst="rect">
                      <a:avLst/>
                    </a:prstGeom>
                    <a:noFill/>
                    <a:ln>
                      <a:noFill/>
                    </a:ln>
                  </pic:spPr>
                </pic:pic>
              </a:graphicData>
            </a:graphic>
          </wp:anchor>
        </w:drawing>
      </w:r>
      <w:r>
        <w:rPr>
          <w:rFonts w:hint="eastAsia"/>
          <w:lang w:val="en-US" w:eastAsia="zh-CN"/>
        </w:rPr>
        <w:drawing>
          <wp:anchor distT="0" distB="0" distL="114300" distR="114300" simplePos="0" relativeHeight="251663360" behindDoc="0" locked="0" layoutInCell="1" allowOverlap="1">
            <wp:simplePos x="0" y="0"/>
            <wp:positionH relativeFrom="column">
              <wp:posOffset>4650740</wp:posOffset>
            </wp:positionH>
            <wp:positionV relativeFrom="paragraph">
              <wp:posOffset>144780</wp:posOffset>
            </wp:positionV>
            <wp:extent cx="1009650" cy="615950"/>
            <wp:effectExtent l="0" t="0" r="6350" b="6350"/>
            <wp:wrapSquare wrapText="bothSides"/>
            <wp:docPr id="3" name="图片 2" descr="方继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方继欣"/>
                    <pic:cNvPicPr>
                      <a:picLocks noChangeAspect="1"/>
                    </pic:cNvPicPr>
                  </pic:nvPicPr>
                  <pic:blipFill>
                    <a:blip r:embed="rId7"/>
                    <a:stretch>
                      <a:fillRect/>
                    </a:stretch>
                  </pic:blipFill>
                  <pic:spPr>
                    <a:xfrm>
                      <a:off x="0" y="0"/>
                      <a:ext cx="1009650" cy="615950"/>
                    </a:xfrm>
                    <a:prstGeom prst="rect">
                      <a:avLst/>
                    </a:prstGeom>
                    <a:noFill/>
                    <a:ln>
                      <a:noFill/>
                    </a:ln>
                  </pic:spPr>
                </pic:pic>
              </a:graphicData>
            </a:graphic>
          </wp:anchor>
        </w:drawing>
      </w: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3884295</wp:posOffset>
            </wp:positionH>
            <wp:positionV relativeFrom="paragraph">
              <wp:posOffset>269875</wp:posOffset>
            </wp:positionV>
            <wp:extent cx="666750" cy="482600"/>
            <wp:effectExtent l="0" t="0" r="6350" b="0"/>
            <wp:wrapSquare wrapText="bothSides"/>
            <wp:docPr id="2" name="图片 2"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
                    <pic:cNvPicPr>
                      <a:picLocks noChangeAspect="1"/>
                    </pic:cNvPicPr>
                  </pic:nvPicPr>
                  <pic:blipFill>
                    <a:blip r:embed="rId8"/>
                    <a:stretch>
                      <a:fillRect/>
                    </a:stretch>
                  </pic:blipFill>
                  <pic:spPr>
                    <a:xfrm>
                      <a:off x="0" y="0"/>
                      <a:ext cx="666750" cy="482600"/>
                    </a:xfrm>
                    <a:prstGeom prst="rect">
                      <a:avLst/>
                    </a:prstGeom>
                  </pic:spPr>
                </pic:pic>
              </a:graphicData>
            </a:graphic>
          </wp:anchor>
        </w:drawing>
      </w:r>
      <w:r>
        <w:rPr>
          <w:rFonts w:hint="eastAsia" w:ascii="宋体" w:hAnsi="宋体"/>
          <w:b/>
          <w:bCs/>
          <w:color w:val="000000"/>
          <w:szCs w:val="21"/>
        </w:rPr>
        <w:t>十一、审核组签字</w:t>
      </w:r>
    </w:p>
    <w:p>
      <w:pPr>
        <w:spacing w:line="240" w:lineRule="auto"/>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2022.9.7</w:t>
      </w:r>
    </w:p>
    <w:p>
      <w:pPr>
        <w:tabs>
          <w:tab w:val="left" w:pos="645"/>
        </w:tabs>
        <w:spacing w:after="156" w:afterLines="50" w:line="360" w:lineRule="exact"/>
        <w:rPr>
          <w:rFonts w:ascii="宋体" w:hAnsi="宋体"/>
          <w:b/>
          <w:bCs/>
          <w:color w:val="000000"/>
          <w:szCs w:val="21"/>
        </w:rPr>
      </w:pPr>
      <w:bookmarkStart w:id="38" w:name="_GoBack"/>
      <w:bookmarkEnd w:id="38"/>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Lucida Sans">
    <w:panose1 w:val="020B0602040502020204"/>
    <w:charset w:val="00"/>
    <w:family w:val="swiss"/>
    <w:pitch w:val="default"/>
    <w:sig w:usb0="8100AAF7" w:usb1="0000807B" w:usb2="00000008" w:usb3="00000000" w:csb0="6000009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TMxNmFjM2JiM2E0NTA2NDBlNDc5ZjJlODAzODVlOTAifQ=="/>
  </w:docVars>
  <w:rsids>
    <w:rsidRoot w:val="00000000"/>
    <w:rsid w:val="0C235F41"/>
    <w:rsid w:val="0DF31F81"/>
    <w:rsid w:val="156659CF"/>
    <w:rsid w:val="19AC062D"/>
    <w:rsid w:val="2D491806"/>
    <w:rsid w:val="38F2694B"/>
    <w:rsid w:val="4AF70CF6"/>
    <w:rsid w:val="577B149D"/>
    <w:rsid w:val="5B103BD5"/>
    <w:rsid w:val="72E800F8"/>
    <w:rsid w:val="735A26BE"/>
    <w:rsid w:val="74EA4A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wangxianhua</cp:lastModifiedBy>
  <dcterms:modified xsi:type="dcterms:W3CDTF">2022-10-04T14:42:06Z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