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67"/>
        <w:gridCol w:w="1068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hint="eastAsia"/>
                <w:szCs w:val="21"/>
              </w:rPr>
            </w:pPr>
            <w:r>
              <w:rPr>
                <w:rFonts w:hint="eastAsia"/>
                <w:szCs w:val="21"/>
              </w:rPr>
              <w:t>过程与活动、</w:t>
            </w:r>
          </w:p>
          <w:p>
            <w:pPr>
              <w:rPr>
                <w:rFonts w:hint="eastAsia"/>
                <w:szCs w:val="21"/>
              </w:rPr>
            </w:pPr>
            <w:r>
              <w:rPr>
                <w:rFonts w:hint="eastAsia"/>
                <w:szCs w:val="21"/>
              </w:rPr>
              <w:t>抽样计划</w:t>
            </w:r>
          </w:p>
        </w:tc>
        <w:tc>
          <w:tcPr>
            <w:tcW w:w="1067" w:type="dxa"/>
            <w:vMerge w:val="restart"/>
            <w:vAlign w:val="center"/>
          </w:tcPr>
          <w:p>
            <w:pPr>
              <w:rPr>
                <w:rFonts w:hint="eastAsia"/>
                <w:szCs w:val="21"/>
              </w:rPr>
            </w:pPr>
            <w:r>
              <w:rPr>
                <w:rFonts w:hint="eastAsia"/>
                <w:szCs w:val="21"/>
              </w:rPr>
              <w:t>涉及</w:t>
            </w:r>
          </w:p>
          <w:p>
            <w:pPr>
              <w:rPr>
                <w:rFonts w:hint="eastAsia"/>
                <w:szCs w:val="21"/>
              </w:rPr>
            </w:pPr>
            <w:r>
              <w:rPr>
                <w:rFonts w:hint="eastAsia"/>
                <w:szCs w:val="21"/>
              </w:rPr>
              <w:t>条款</w:t>
            </w:r>
          </w:p>
        </w:tc>
        <w:tc>
          <w:tcPr>
            <w:tcW w:w="10683" w:type="dxa"/>
            <w:vAlign w:val="center"/>
          </w:tcPr>
          <w:p>
            <w:pPr>
              <w:rPr>
                <w:rFonts w:hint="eastAsia"/>
                <w:szCs w:val="21"/>
                <w:lang w:eastAsia="zh-CN"/>
              </w:rPr>
            </w:pPr>
            <w:r>
              <w:rPr>
                <w:rFonts w:hint="eastAsia"/>
                <w:szCs w:val="21"/>
              </w:rPr>
              <w:t>受审核部门：采购部         主管领导：</w:t>
            </w:r>
            <w:r>
              <w:rPr>
                <w:rFonts w:hint="eastAsia"/>
                <w:szCs w:val="21"/>
                <w:lang w:val="en-US" w:eastAsia="zh-CN"/>
              </w:rPr>
              <w:t>周晓辉</w:t>
            </w:r>
            <w:r>
              <w:rPr>
                <w:rFonts w:hint="eastAsia"/>
                <w:szCs w:val="21"/>
              </w:rPr>
              <w:t xml:space="preserve">   </w:t>
            </w:r>
            <w:r>
              <w:rPr>
                <w:rFonts w:hint="eastAsia"/>
                <w:szCs w:val="21"/>
                <w:lang w:val="en-US" w:eastAsia="zh-CN"/>
              </w:rPr>
              <w:t xml:space="preserve">  </w:t>
            </w:r>
            <w:r>
              <w:rPr>
                <w:rFonts w:hint="eastAsia"/>
                <w:szCs w:val="21"/>
              </w:rPr>
              <w:t xml:space="preserve">  陪同人员：</w:t>
            </w:r>
            <w:r>
              <w:rPr>
                <w:rFonts w:hint="eastAsia"/>
                <w:szCs w:val="21"/>
                <w:lang w:val="en-US" w:eastAsia="zh-CN"/>
              </w:rPr>
              <w:t>熊艳</w:t>
            </w:r>
          </w:p>
        </w:tc>
        <w:tc>
          <w:tcPr>
            <w:tcW w:w="79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67" w:type="dxa"/>
            <w:vMerge w:val="continue"/>
            <w:vAlign w:val="center"/>
          </w:tcPr>
          <w:p/>
        </w:tc>
        <w:tc>
          <w:tcPr>
            <w:tcW w:w="10683" w:type="dxa"/>
            <w:vAlign w:val="center"/>
          </w:tcPr>
          <w:p>
            <w:pPr>
              <w:rPr>
                <w:rFonts w:hint="default"/>
                <w:szCs w:val="21"/>
                <w:lang w:val="en-US" w:eastAsia="zh-CN"/>
              </w:rPr>
            </w:pPr>
            <w:r>
              <w:rPr>
                <w:rFonts w:hint="eastAsia"/>
                <w:szCs w:val="21"/>
              </w:rPr>
              <w:t>审核员：</w:t>
            </w:r>
            <w:r>
              <w:rPr>
                <w:rFonts w:hint="eastAsia"/>
                <w:szCs w:val="21"/>
                <w:lang w:val="en-US" w:eastAsia="zh-CN"/>
              </w:rPr>
              <w:t>伍光华</w:t>
            </w:r>
            <w:r>
              <w:rPr>
                <w:rFonts w:hint="eastAsia"/>
                <w:szCs w:val="21"/>
              </w:rPr>
              <w:t xml:space="preserve">             审核时间：20</w:t>
            </w:r>
            <w:r>
              <w:rPr>
                <w:rFonts w:hint="eastAsia"/>
                <w:szCs w:val="21"/>
                <w:lang w:val="en-US" w:eastAsia="zh-CN"/>
              </w:rPr>
              <w:t>22.08.11</w:t>
            </w:r>
          </w:p>
        </w:tc>
        <w:tc>
          <w:tcPr>
            <w:tcW w:w="79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67" w:type="dxa"/>
            <w:vMerge w:val="continue"/>
            <w:vAlign w:val="center"/>
          </w:tcPr>
          <w:p/>
        </w:tc>
        <w:tc>
          <w:tcPr>
            <w:tcW w:w="10683" w:type="dxa"/>
            <w:vAlign w:val="center"/>
          </w:tcPr>
          <w:p>
            <w:pPr>
              <w:ind w:firstLine="1050" w:firstLineChars="500"/>
              <w:rPr>
                <w:rFonts w:hint="eastAsia"/>
                <w:szCs w:val="21"/>
              </w:rPr>
            </w:pPr>
            <w:r>
              <w:rPr>
                <w:rFonts w:hint="eastAsia"/>
                <w:szCs w:val="21"/>
              </w:rPr>
              <w:t>审核条款：</w:t>
            </w:r>
          </w:p>
          <w:p>
            <w:pPr>
              <w:ind w:firstLine="1050" w:firstLineChars="500"/>
              <w:rPr>
                <w:rFonts w:hint="eastAsia"/>
                <w:szCs w:val="21"/>
              </w:rPr>
            </w:pPr>
            <w:r>
              <w:rPr>
                <w:rFonts w:hint="eastAsia"/>
                <w:szCs w:val="21"/>
              </w:rPr>
              <w:t>S：5.3/6.2/</w:t>
            </w:r>
            <w:r>
              <w:rPr>
                <w:rFonts w:hint="eastAsia"/>
                <w:szCs w:val="21"/>
                <w:lang w:val="en-US" w:eastAsia="zh-CN"/>
              </w:rPr>
              <w:t>6.1.2/8.1/</w:t>
            </w:r>
            <w:r>
              <w:rPr>
                <w:rFonts w:hint="eastAsia"/>
                <w:szCs w:val="21"/>
              </w:rPr>
              <w:t>8.2</w:t>
            </w:r>
          </w:p>
        </w:tc>
        <w:tc>
          <w:tcPr>
            <w:tcW w:w="79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组织的岗位、职责权限</w:t>
            </w:r>
          </w:p>
        </w:tc>
        <w:tc>
          <w:tcPr>
            <w:tcW w:w="1067" w:type="dxa"/>
            <w:vAlign w:val="center"/>
          </w:tcPr>
          <w:p>
            <w:pPr>
              <w:rPr>
                <w:szCs w:val="21"/>
              </w:rPr>
            </w:pPr>
            <w:r>
              <w:rPr>
                <w:rFonts w:hint="eastAsia"/>
                <w:szCs w:val="21"/>
                <w:lang w:val="en-US" w:eastAsia="zh-CN"/>
              </w:rPr>
              <w:t>S</w:t>
            </w:r>
            <w:r>
              <w:rPr>
                <w:rFonts w:hint="eastAsia"/>
                <w:szCs w:val="21"/>
              </w:rPr>
              <w:t>5.3</w:t>
            </w:r>
          </w:p>
          <w:p>
            <w:pPr>
              <w:rPr>
                <w:szCs w:val="21"/>
              </w:rPr>
            </w:pPr>
          </w:p>
        </w:tc>
        <w:tc>
          <w:tcPr>
            <w:tcW w:w="10683" w:type="dxa"/>
            <w:vAlign w:val="center"/>
          </w:tcPr>
          <w:p>
            <w:pPr>
              <w:ind w:firstLine="420" w:firstLineChars="200"/>
              <w:rPr>
                <w:rFonts w:hint="eastAsia" w:ascii="宋体" w:hAnsi="宋体" w:eastAsia="宋体" w:cs="宋体"/>
                <w:szCs w:val="21"/>
                <w:lang w:eastAsia="zh-CN"/>
              </w:rPr>
            </w:pPr>
            <w:r>
              <w:rPr>
                <w:rFonts w:hint="eastAsia" w:ascii="宋体" w:hAnsi="宋体" w:cs="宋体"/>
                <w:color w:val="000000"/>
                <w:szCs w:val="21"/>
              </w:rPr>
              <w:t>销售部</w:t>
            </w:r>
            <w:r>
              <w:rPr>
                <w:rFonts w:hint="eastAsia" w:ascii="宋体" w:hAnsi="宋体" w:cs="宋体"/>
                <w:szCs w:val="21"/>
              </w:rPr>
              <w:t>负责人：</w:t>
            </w:r>
            <w:r>
              <w:rPr>
                <w:rFonts w:hint="eastAsia" w:ascii="宋体" w:hAnsi="宋体" w:cs="宋体"/>
                <w:szCs w:val="21"/>
                <w:lang w:eastAsia="zh-CN"/>
              </w:rPr>
              <w:t>周晓辉</w:t>
            </w:r>
          </w:p>
          <w:p>
            <w:pPr>
              <w:ind w:firstLine="420" w:firstLineChars="200"/>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部门主要负责：负责外部提供过程、产品和服务的控制材料管理；</w:t>
            </w:r>
            <w:r>
              <w:rPr>
                <w:rFonts w:ascii="宋体" w:hAnsi="宋体" w:cs="宋体"/>
                <w:szCs w:val="21"/>
              </w:rPr>
              <w:t xml:space="preserve"> </w:t>
            </w:r>
          </w:p>
          <w:p>
            <w:pPr>
              <w:ind w:firstLine="420" w:firstLineChars="200"/>
              <w:rPr>
                <w:rFonts w:ascii="宋体" w:hAnsi="宋体" w:cs="宋体"/>
                <w:szCs w:val="21"/>
              </w:rPr>
            </w:pPr>
            <w:r>
              <w:rPr>
                <w:rFonts w:ascii="宋体" w:hAnsi="宋体" w:cs="宋体"/>
                <w:szCs w:val="21"/>
              </w:rPr>
              <w:t xml:space="preserve">2 </w:t>
            </w:r>
            <w:r>
              <w:rPr>
                <w:rFonts w:hint="eastAsia" w:ascii="宋体" w:hAnsi="宋体" w:cs="宋体"/>
                <w:szCs w:val="21"/>
              </w:rPr>
              <w:t>与本部门有关的环境和职业健康安全运行控制；</w:t>
            </w:r>
          </w:p>
          <w:p>
            <w:pPr>
              <w:ind w:firstLine="420" w:firstLineChars="200"/>
              <w:rPr>
                <w:szCs w:val="21"/>
              </w:rPr>
            </w:pPr>
            <w:r>
              <w:rPr>
                <w:rFonts w:hint="eastAsia" w:ascii="宋体" w:hAnsi="宋体" w:cs="宋体"/>
                <w:szCs w:val="21"/>
              </w:rPr>
              <w:t>部门人员能够清楚自己部门的职责，沟通顺畅。</w:t>
            </w:r>
          </w:p>
        </w:tc>
        <w:tc>
          <w:tcPr>
            <w:tcW w:w="799" w:type="dxa"/>
          </w:tcPr>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目标和方案</w:t>
            </w:r>
          </w:p>
        </w:tc>
        <w:tc>
          <w:tcPr>
            <w:tcW w:w="1067" w:type="dxa"/>
            <w:vAlign w:val="center"/>
          </w:tcPr>
          <w:p>
            <w:pPr>
              <w:rPr>
                <w:szCs w:val="21"/>
              </w:rPr>
            </w:pPr>
            <w:r>
              <w:rPr>
                <w:rFonts w:hint="eastAsia"/>
                <w:szCs w:val="21"/>
                <w:lang w:val="en-US" w:eastAsia="zh-CN"/>
              </w:rPr>
              <w:t>S</w:t>
            </w:r>
            <w:r>
              <w:rPr>
                <w:rFonts w:hint="eastAsia"/>
                <w:szCs w:val="21"/>
              </w:rPr>
              <w:t>6.2</w:t>
            </w:r>
          </w:p>
        </w:tc>
        <w:tc>
          <w:tcPr>
            <w:tcW w:w="10683" w:type="dxa"/>
            <w:vAlign w:val="center"/>
          </w:tcPr>
          <w:p>
            <w:pPr>
              <w:ind w:firstLine="420" w:firstLineChars="200"/>
              <w:rPr>
                <w:szCs w:val="21"/>
              </w:rPr>
            </w:pPr>
            <w:r>
              <w:rPr>
                <w:rFonts w:hint="eastAsia"/>
                <w:szCs w:val="21"/>
              </w:rPr>
              <w:t>执行《管理手册》及《方针目标管理制度》</w:t>
            </w:r>
          </w:p>
          <w:p>
            <w:pPr>
              <w:rPr>
                <w:szCs w:val="21"/>
              </w:rPr>
            </w:pPr>
            <w:r>
              <w:rPr>
                <w:rFonts w:hint="eastAsia"/>
                <w:szCs w:val="21"/>
              </w:rPr>
              <w:t>部门</w:t>
            </w:r>
            <w:r>
              <w:rPr>
                <w:rFonts w:hint="eastAsia" w:ascii="宋体" w:hAnsi="宋体" w:cs="宋体"/>
                <w:szCs w:val="21"/>
              </w:rPr>
              <w:t>目标</w:t>
            </w:r>
            <w:r>
              <w:rPr>
                <w:rFonts w:hint="eastAsia"/>
                <w:szCs w:val="21"/>
              </w:rPr>
              <w:t xml:space="preserve">： </w:t>
            </w:r>
            <w:r>
              <w:rPr>
                <w:szCs w:val="21"/>
              </w:rPr>
              <w:t xml:space="preserve">                       </w:t>
            </w:r>
            <w:r>
              <w:rPr>
                <w:rFonts w:hint="eastAsia"/>
                <w:szCs w:val="21"/>
              </w:rPr>
              <w:t>考核情况</w:t>
            </w:r>
          </w:p>
          <w:p>
            <w:pPr>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 xml:space="preserve">、火灾及交通意外事故发生率0     </w:t>
            </w:r>
            <w:r>
              <w:rPr>
                <w:rFonts w:ascii="宋体" w:hAnsi="宋体" w:cs="宋体"/>
                <w:szCs w:val="21"/>
              </w:rPr>
              <w:t xml:space="preserve">   </w:t>
            </w:r>
            <w:r>
              <w:rPr>
                <w:rFonts w:hint="eastAsia" w:ascii="宋体" w:hAnsi="宋体" w:cs="宋体"/>
                <w:szCs w:val="21"/>
              </w:rPr>
              <w:t xml:space="preserve"> 0 </w:t>
            </w:r>
          </w:p>
          <w:p>
            <w:pPr>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目标</w:t>
            </w:r>
            <w:r>
              <w:rPr>
                <w:rFonts w:hint="eastAsia" w:ascii="宋体" w:hAnsi="宋体" w:cs="宋体"/>
                <w:szCs w:val="21"/>
                <w:lang w:val="en-US" w:eastAsia="zh-CN"/>
              </w:rPr>
              <w:t>已完成</w:t>
            </w:r>
            <w:r>
              <w:rPr>
                <w:rFonts w:hint="eastAsia" w:ascii="宋体" w:hAnsi="宋体" w:cs="宋体"/>
                <w:szCs w:val="21"/>
              </w:rPr>
              <w:t>，目标适宜。</w:t>
            </w:r>
          </w:p>
          <w:p>
            <w:pPr>
              <w:ind w:firstLine="420" w:firstLineChars="200"/>
              <w:rPr>
                <w:rFonts w:ascii="宋体" w:hAnsi="宋体" w:cs="宋体"/>
                <w:szCs w:val="21"/>
              </w:rPr>
            </w:pPr>
            <w:r>
              <w:rPr>
                <w:rFonts w:hint="eastAsia" w:ascii="宋体" w:hAnsi="宋体" w:cs="宋体"/>
                <w:szCs w:val="21"/>
              </w:rPr>
              <w:t>职业健康安全体系建立了管理方案，查管理方案表，共1项：1、杜绝火灾发生，制定了3项管理措施。预算、执行部门：各部门，检查人：</w:t>
            </w:r>
            <w:r>
              <w:rPr>
                <w:rFonts w:hint="eastAsia" w:ascii="宋体" w:hAnsi="宋体" w:cs="宋体"/>
                <w:szCs w:val="21"/>
                <w:lang w:eastAsia="zh-CN"/>
              </w:rPr>
              <w:t>周晓辉</w:t>
            </w:r>
            <w:r>
              <w:rPr>
                <w:rFonts w:hint="eastAsia" w:ascii="宋体" w:hAnsi="宋体" w:cs="宋体"/>
                <w:szCs w:val="21"/>
              </w:rPr>
              <w:t>，执行日期：20</w:t>
            </w:r>
            <w:r>
              <w:rPr>
                <w:rFonts w:hint="eastAsia" w:ascii="宋体" w:hAnsi="宋体" w:cs="宋体"/>
                <w:szCs w:val="21"/>
                <w:lang w:val="en-US" w:eastAsia="zh-CN"/>
              </w:rPr>
              <w:t>22</w:t>
            </w:r>
            <w:r>
              <w:rPr>
                <w:rFonts w:hint="eastAsia" w:ascii="宋体" w:hAnsi="宋体" w:cs="宋体"/>
                <w:szCs w:val="21"/>
              </w:rPr>
              <w:t>年</w:t>
            </w:r>
            <w:r>
              <w:rPr>
                <w:rFonts w:ascii="宋体" w:hAnsi="宋体" w:cs="宋体"/>
                <w:szCs w:val="21"/>
              </w:rPr>
              <w:t>1</w:t>
            </w:r>
            <w:r>
              <w:rPr>
                <w:rFonts w:hint="eastAsia" w:ascii="宋体" w:hAnsi="宋体" w:cs="宋体"/>
                <w:szCs w:val="21"/>
              </w:rPr>
              <w:t>月至20</w:t>
            </w:r>
            <w:r>
              <w:rPr>
                <w:rFonts w:ascii="宋体" w:hAnsi="宋体" w:cs="宋体"/>
                <w:szCs w:val="21"/>
              </w:rPr>
              <w:t>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p>
          <w:p>
            <w:pPr>
              <w:rPr>
                <w:rFonts w:ascii="宋体" w:hAnsi="宋体" w:cs="宋体"/>
                <w:szCs w:val="21"/>
              </w:rPr>
            </w:pPr>
            <w:r>
              <w:rPr>
                <w:rFonts w:hint="eastAsia" w:ascii="宋体" w:hAnsi="宋体" w:cs="宋体"/>
                <w:szCs w:val="21"/>
              </w:rPr>
              <w:t>上述目标、指标第1、2</w:t>
            </w:r>
            <w:r>
              <w:rPr>
                <w:rFonts w:hint="eastAsia" w:ascii="宋体" w:hAnsi="宋体" w:cs="宋体"/>
                <w:szCs w:val="21"/>
                <w:lang w:val="en-US" w:eastAsia="zh-CN"/>
              </w:rPr>
              <w:t>季</w:t>
            </w:r>
            <w:r>
              <w:rPr>
                <w:rFonts w:hint="eastAsia" w:ascii="宋体" w:hAnsi="宋体" w:cs="宋体"/>
                <w:szCs w:val="21"/>
              </w:rPr>
              <w:t>度进行考核，考核结果：全部达标，考核人：</w:t>
            </w:r>
            <w:r>
              <w:rPr>
                <w:rFonts w:hint="eastAsia" w:ascii="宋体" w:hAnsi="宋体" w:cs="宋体"/>
                <w:szCs w:val="21"/>
                <w:lang w:eastAsia="zh-CN"/>
              </w:rPr>
              <w:t>周晓辉</w:t>
            </w:r>
            <w:r>
              <w:rPr>
                <w:rFonts w:hint="eastAsia" w:ascii="宋体" w:hAnsi="宋体" w:cs="宋体"/>
                <w:szCs w:val="21"/>
              </w:rPr>
              <w:t>。</w:t>
            </w:r>
          </w:p>
          <w:p>
            <w:pPr>
              <w:ind w:firstLine="420" w:firstLineChars="200"/>
              <w:rPr>
                <w:szCs w:val="21"/>
              </w:rPr>
            </w:pPr>
            <w:r>
              <w:rPr>
                <w:rFonts w:hint="eastAsia" w:ascii="宋体" w:hAnsi="宋体" w:cs="宋体"/>
                <w:szCs w:val="21"/>
              </w:rPr>
              <w:t>制定的指标和管理方案基本可行。</w:t>
            </w:r>
            <w:r>
              <w:rPr>
                <w:rFonts w:hint="eastAsia"/>
                <w:szCs w:val="21"/>
              </w:rPr>
              <w:t>完成时间20</w:t>
            </w:r>
            <w:r>
              <w:rPr>
                <w:rFonts w:hint="eastAsia"/>
                <w:szCs w:val="21"/>
                <w:lang w:val="en-US" w:eastAsia="zh-CN"/>
              </w:rPr>
              <w:t>22</w:t>
            </w:r>
            <w:r>
              <w:rPr>
                <w:rFonts w:hint="eastAsia"/>
                <w:szCs w:val="21"/>
              </w:rPr>
              <w:t>.</w:t>
            </w:r>
            <w:r>
              <w:rPr>
                <w:szCs w:val="21"/>
              </w:rPr>
              <w:t>1</w:t>
            </w:r>
            <w:r>
              <w:rPr>
                <w:rFonts w:hint="eastAsia"/>
                <w:szCs w:val="21"/>
              </w:rPr>
              <w:t>~20</w:t>
            </w:r>
            <w:r>
              <w:rPr>
                <w:szCs w:val="21"/>
              </w:rPr>
              <w:t>2</w:t>
            </w:r>
            <w:r>
              <w:rPr>
                <w:rFonts w:hint="eastAsia"/>
                <w:szCs w:val="21"/>
                <w:lang w:val="en-US" w:eastAsia="zh-CN"/>
              </w:rPr>
              <w:t>2</w:t>
            </w:r>
            <w:r>
              <w:rPr>
                <w:rFonts w:hint="eastAsia"/>
                <w:szCs w:val="21"/>
              </w:rPr>
              <w:t>.</w:t>
            </w:r>
            <w:r>
              <w:rPr>
                <w:szCs w:val="21"/>
              </w:rPr>
              <w:t>1</w:t>
            </w:r>
            <w:r>
              <w:rPr>
                <w:rFonts w:hint="eastAsia"/>
                <w:szCs w:val="21"/>
                <w:lang w:val="en-US" w:eastAsia="zh-CN"/>
              </w:rPr>
              <w:t>2</w:t>
            </w:r>
            <w:r>
              <w:rPr>
                <w:rFonts w:hint="eastAsia"/>
                <w:szCs w:val="21"/>
              </w:rPr>
              <w:t>费用：</w:t>
            </w:r>
            <w:r>
              <w:rPr>
                <w:rFonts w:hint="eastAsia"/>
                <w:szCs w:val="21"/>
                <w:lang w:val="en-US" w:eastAsia="zh-CN"/>
              </w:rPr>
              <w:t>1</w:t>
            </w:r>
            <w:r>
              <w:rPr>
                <w:szCs w:val="21"/>
              </w:rPr>
              <w:t>0</w:t>
            </w:r>
            <w:r>
              <w:rPr>
                <w:rFonts w:hint="eastAsia"/>
                <w:szCs w:val="21"/>
              </w:rPr>
              <w:t>00元 责任部门：采购部等</w:t>
            </w:r>
          </w:p>
          <w:p>
            <w:pPr>
              <w:rPr>
                <w:szCs w:val="21"/>
              </w:rPr>
            </w:pPr>
            <w:r>
              <w:rPr>
                <w:rFonts w:hint="eastAsia"/>
                <w:szCs w:val="21"/>
              </w:rPr>
              <w:t>制定的指标和管理方案基本可行。</w:t>
            </w:r>
          </w:p>
        </w:tc>
        <w:tc>
          <w:tcPr>
            <w:tcW w:w="799" w:type="dxa"/>
          </w:tcPr>
          <w:p/>
          <w:p/>
          <w:p/>
          <w:p/>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60" w:type="dxa"/>
            <w:vAlign w:val="center"/>
          </w:tcPr>
          <w:p>
            <w:pPr>
              <w:rPr>
                <w:szCs w:val="21"/>
              </w:rPr>
            </w:pPr>
            <w:r>
              <w:rPr>
                <w:rFonts w:hint="eastAsia"/>
                <w:szCs w:val="21"/>
              </w:rPr>
              <w:t>危险源辨识和控制措施的确定</w:t>
            </w:r>
          </w:p>
        </w:tc>
        <w:tc>
          <w:tcPr>
            <w:tcW w:w="1067" w:type="dxa"/>
            <w:vAlign w:val="center"/>
          </w:tcPr>
          <w:p>
            <w:pPr>
              <w:rPr>
                <w:szCs w:val="21"/>
              </w:rPr>
            </w:pPr>
            <w:r>
              <w:rPr>
                <w:rFonts w:hint="eastAsia"/>
                <w:szCs w:val="21"/>
                <w:lang w:val="en-US" w:eastAsia="zh-CN"/>
              </w:rPr>
              <w:t>S</w:t>
            </w:r>
            <w:r>
              <w:rPr>
                <w:rFonts w:hint="eastAsia"/>
                <w:szCs w:val="21"/>
              </w:rPr>
              <w:t>6.1.2</w:t>
            </w:r>
          </w:p>
        </w:tc>
        <w:tc>
          <w:tcPr>
            <w:tcW w:w="10683" w:type="dxa"/>
            <w:vAlign w:val="center"/>
          </w:tcPr>
          <w:p>
            <w:pPr>
              <w:ind w:firstLine="420" w:firstLineChars="200"/>
              <w:rPr>
                <w:szCs w:val="21"/>
              </w:rPr>
            </w:pPr>
            <w:r>
              <w:rPr>
                <w:rFonts w:hint="eastAsia"/>
                <w:szCs w:val="21"/>
              </w:rPr>
              <w:t>执行《危险源识别和评价控制程序》</w:t>
            </w:r>
          </w:p>
          <w:p>
            <w:pPr>
              <w:ind w:firstLine="420" w:firstLineChars="200"/>
              <w:rPr>
                <w:szCs w:val="21"/>
              </w:rPr>
            </w:pPr>
            <w:r>
              <w:rPr>
                <w:rFonts w:hint="eastAsia"/>
                <w:szCs w:val="21"/>
              </w:rPr>
              <w:t>提供了《职业健康安全危险源识别与评价表》，涉及本部门的危险源包括：使用电器不当造成触电，搬运货物造成的砸伤，吸烟乱扔烟头导致火灾，采购过程途中交通危险，电器短路或使用时间过长散热不良，相关方出入驾驶员违章驾驶等。</w:t>
            </w:r>
          </w:p>
          <w:p>
            <w:pPr>
              <w:ind w:firstLine="420" w:firstLineChars="200"/>
              <w:rPr>
                <w:szCs w:val="21"/>
              </w:rPr>
            </w:pPr>
            <w:r>
              <w:rPr>
                <w:rFonts w:hint="eastAsia"/>
                <w:szCs w:val="21"/>
              </w:rPr>
              <w:t>用直接判断法对识别的危险源进行评价。</w:t>
            </w:r>
            <w:r>
              <w:rPr>
                <w:szCs w:val="21"/>
              </w:rPr>
              <w:t xml:space="preserve"> </w:t>
            </w:r>
          </w:p>
          <w:p>
            <w:pPr>
              <w:ind w:firstLine="420" w:firstLineChars="200"/>
              <w:rPr>
                <w:szCs w:val="21"/>
              </w:rPr>
            </w:pPr>
            <w:r>
              <w:rPr>
                <w:rFonts w:hint="eastAsia"/>
                <w:szCs w:val="21"/>
              </w:rPr>
              <w:t>提供“危险源辨识风险评价表”，涉及本部门的的危险源已辨识出线路老化、短路隐患、电线漏电等情况产生的火灾、触电等危险因素。</w:t>
            </w:r>
          </w:p>
          <w:p>
            <w:pPr>
              <w:ind w:firstLine="420" w:firstLineChars="200"/>
              <w:rPr>
                <w:szCs w:val="21"/>
              </w:rPr>
            </w:pPr>
            <w:r>
              <w:rPr>
                <w:rFonts w:hint="eastAsia"/>
                <w:szCs w:val="21"/>
              </w:rPr>
              <w:t>提供了“不可接受风险清单”</w:t>
            </w:r>
          </w:p>
          <w:p>
            <w:pPr>
              <w:ind w:firstLine="420" w:firstLineChars="200"/>
              <w:rPr>
                <w:szCs w:val="21"/>
              </w:rPr>
            </w:pPr>
            <w:r>
              <w:rPr>
                <w:rFonts w:hint="eastAsia"/>
                <w:szCs w:val="21"/>
              </w:rPr>
              <w:t>涉及本部门的</w:t>
            </w:r>
            <w:r>
              <w:rPr>
                <w:rFonts w:hint="eastAsia"/>
                <w:szCs w:val="21"/>
                <w:lang w:val="en-US" w:eastAsia="zh-CN"/>
              </w:rPr>
              <w:t>重大危险源</w:t>
            </w:r>
            <w:r>
              <w:rPr>
                <w:rFonts w:hint="eastAsia"/>
                <w:szCs w:val="21"/>
              </w:rPr>
              <w:t>：火灾和交通意外伤害。评价基本准确。</w:t>
            </w:r>
          </w:p>
          <w:p>
            <w:pPr>
              <w:ind w:firstLine="420" w:firstLineChars="200"/>
              <w:rPr>
                <w:szCs w:val="21"/>
              </w:rPr>
            </w:pPr>
            <w:r>
              <w:rPr>
                <w:rFonts w:hint="eastAsia"/>
                <w:szCs w:val="21"/>
              </w:rPr>
              <w:t>编制：</w:t>
            </w:r>
            <w:r>
              <w:rPr>
                <w:rFonts w:hint="eastAsia"/>
                <w:szCs w:val="21"/>
                <w:lang w:eastAsia="zh-CN"/>
              </w:rPr>
              <w:t>刘军荣</w:t>
            </w:r>
            <w:r>
              <w:rPr>
                <w:rFonts w:hint="eastAsia"/>
                <w:szCs w:val="21"/>
              </w:rPr>
              <w:t xml:space="preserve"> </w:t>
            </w:r>
            <w:r>
              <w:rPr>
                <w:szCs w:val="21"/>
              </w:rPr>
              <w:t xml:space="preserve"> </w:t>
            </w:r>
            <w:r>
              <w:rPr>
                <w:rFonts w:hint="eastAsia"/>
                <w:szCs w:val="21"/>
              </w:rPr>
              <w:t>审核：</w:t>
            </w:r>
            <w:r>
              <w:rPr>
                <w:rFonts w:hint="eastAsia"/>
                <w:szCs w:val="21"/>
                <w:lang w:eastAsia="zh-CN"/>
              </w:rPr>
              <w:t>周晓辉</w:t>
            </w:r>
            <w:r>
              <w:rPr>
                <w:rFonts w:hint="eastAsia"/>
                <w:szCs w:val="21"/>
              </w:rPr>
              <w:t xml:space="preserve">   审批：</w:t>
            </w:r>
            <w:r>
              <w:rPr>
                <w:rFonts w:hint="eastAsia"/>
                <w:szCs w:val="21"/>
                <w:lang w:val="en-US" w:eastAsia="zh-CN"/>
              </w:rPr>
              <w:t>周晓辉</w:t>
            </w:r>
            <w:r>
              <w:rPr>
                <w:rFonts w:hint="eastAsia"/>
                <w:szCs w:val="21"/>
              </w:rPr>
              <w:t xml:space="preserve">    日期：20</w:t>
            </w:r>
            <w:r>
              <w:rPr>
                <w:rFonts w:hint="eastAsia"/>
                <w:szCs w:val="21"/>
                <w:lang w:val="en-US" w:eastAsia="zh-CN"/>
              </w:rPr>
              <w:t>22</w:t>
            </w:r>
            <w:r>
              <w:rPr>
                <w:rFonts w:hint="eastAsia"/>
                <w:szCs w:val="21"/>
              </w:rPr>
              <w:t>.1.</w:t>
            </w:r>
            <w:r>
              <w:rPr>
                <w:szCs w:val="21"/>
              </w:rPr>
              <w:t>9</w:t>
            </w:r>
          </w:p>
        </w:tc>
        <w:tc>
          <w:tcPr>
            <w:tcW w:w="79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trPr>
        <w:tc>
          <w:tcPr>
            <w:tcW w:w="2160" w:type="dxa"/>
            <w:vAlign w:val="center"/>
          </w:tcPr>
          <w:p>
            <w:pPr>
              <w:rPr>
                <w:szCs w:val="21"/>
              </w:rPr>
            </w:pPr>
            <w:r>
              <w:rPr>
                <w:rFonts w:hint="eastAsia"/>
                <w:szCs w:val="21"/>
              </w:rPr>
              <w:t>运行控制</w:t>
            </w:r>
          </w:p>
        </w:tc>
        <w:tc>
          <w:tcPr>
            <w:tcW w:w="1067" w:type="dxa"/>
            <w:vAlign w:val="center"/>
          </w:tcPr>
          <w:p>
            <w:pPr>
              <w:rPr>
                <w:szCs w:val="21"/>
              </w:rPr>
            </w:pPr>
            <w:r>
              <w:rPr>
                <w:rFonts w:hint="eastAsia"/>
                <w:szCs w:val="21"/>
                <w:lang w:val="en-US" w:eastAsia="zh-CN"/>
              </w:rPr>
              <w:t>S</w:t>
            </w:r>
            <w:r>
              <w:rPr>
                <w:rFonts w:hint="eastAsia"/>
                <w:szCs w:val="21"/>
              </w:rPr>
              <w:t>8.1</w:t>
            </w:r>
          </w:p>
        </w:tc>
        <w:tc>
          <w:tcPr>
            <w:tcW w:w="10683" w:type="dxa"/>
            <w:vAlign w:val="center"/>
          </w:tcPr>
          <w:p>
            <w:pPr>
              <w:ind w:firstLine="420" w:firstLineChars="200"/>
              <w:rPr>
                <w:szCs w:val="21"/>
              </w:rPr>
            </w:pPr>
            <w:r>
              <w:rPr>
                <w:rFonts w:hint="eastAsia"/>
                <w:szCs w:val="21"/>
              </w:rPr>
              <w:t>本部门应执行的运行控制文件包括：</w:t>
            </w:r>
            <w:r>
              <w:rPr>
                <w:rFonts w:hint="eastAsia"/>
                <w:szCs w:val="21"/>
                <w:lang w:val="en-GB"/>
              </w:rPr>
              <w:t>环境管理控制程序、职业健康控制程序、固体废弃物管理</w:t>
            </w:r>
            <w:r>
              <w:rPr>
                <w:rFonts w:hint="eastAsia"/>
                <w:szCs w:val="21"/>
              </w:rPr>
              <w:t>规定</w:t>
            </w:r>
            <w:r>
              <w:rPr>
                <w:rFonts w:hint="eastAsia"/>
                <w:szCs w:val="21"/>
                <w:lang w:val="en-GB"/>
              </w:rPr>
              <w:t>、</w:t>
            </w:r>
            <w:r>
              <w:rPr>
                <w:rFonts w:hint="eastAsia"/>
                <w:szCs w:val="21"/>
              </w:rPr>
              <w:t>对相关方施加影响管理规定、节能降耗管理规定、消防安全管理制度、采购部安全管理制度、</w:t>
            </w:r>
            <w:r>
              <w:rPr>
                <w:rFonts w:hint="eastAsia"/>
                <w:szCs w:val="21"/>
                <w:lang w:val="en-GB"/>
              </w:rPr>
              <w:t>车辆管理规定、电脑使用管理办法、服务人员工作规范</w:t>
            </w:r>
            <w:r>
              <w:rPr>
                <w:rFonts w:hint="eastAsia"/>
                <w:szCs w:val="21"/>
              </w:rPr>
              <w:t>等</w:t>
            </w:r>
          </w:p>
          <w:p>
            <w:pPr>
              <w:rPr>
                <w:szCs w:val="21"/>
              </w:rPr>
            </w:pPr>
            <w:r>
              <w:rPr>
                <w:rFonts w:hint="eastAsia"/>
                <w:szCs w:val="21"/>
              </w:rPr>
              <w:t>运行控制情况：</w:t>
            </w:r>
          </w:p>
          <w:p>
            <w:pPr>
              <w:numPr>
                <w:ilvl w:val="0"/>
                <w:numId w:val="1"/>
              </w:numPr>
              <w:rPr>
                <w:szCs w:val="21"/>
              </w:rPr>
            </w:pPr>
            <w:r>
              <w:rPr>
                <w:rFonts w:hint="eastAsia"/>
                <w:szCs w:val="21"/>
              </w:rPr>
              <w:t>采购部区域：污水：不涉及污水，没有污水排放，生活用水排放城市管网。</w:t>
            </w:r>
          </w:p>
          <w:p>
            <w:pPr>
              <w:numPr>
                <w:ilvl w:val="0"/>
                <w:numId w:val="1"/>
              </w:numPr>
              <w:rPr>
                <w:szCs w:val="21"/>
              </w:rPr>
            </w:pPr>
            <w:r>
              <w:rPr>
                <w:rFonts w:hint="eastAsia"/>
                <w:szCs w:val="21"/>
              </w:rPr>
              <w:t>噪声：办公现场不产生明显噪声。</w:t>
            </w:r>
          </w:p>
          <w:p>
            <w:pPr>
              <w:numPr>
                <w:ilvl w:val="0"/>
                <w:numId w:val="1"/>
              </w:numPr>
              <w:rPr>
                <w:szCs w:val="21"/>
              </w:rPr>
            </w:pPr>
            <w:r>
              <w:rPr>
                <w:rFonts w:hint="eastAsia"/>
                <w:szCs w:val="21"/>
              </w:rPr>
              <w:t>固废：固体废物主要是办公产生废纸张等，配置了纸篓；办公用纸由综合部负责，复印、打印耗材都有综合部统一负责，集中处置。</w:t>
            </w:r>
          </w:p>
          <w:p>
            <w:pPr>
              <w:numPr>
                <w:ilvl w:val="0"/>
                <w:numId w:val="1"/>
              </w:numPr>
              <w:rPr>
                <w:szCs w:val="21"/>
              </w:rPr>
            </w:pPr>
            <w:r>
              <w:rPr>
                <w:rFonts w:hint="eastAsia"/>
                <w:szCs w:val="21"/>
              </w:rPr>
              <w:t>办公过程注意节约用电，做到人走灯灭，电脑长时间不用时关机，下班前要关闭电源，防止触电。</w:t>
            </w:r>
          </w:p>
          <w:p>
            <w:pPr>
              <w:numPr>
                <w:ilvl w:val="0"/>
                <w:numId w:val="1"/>
              </w:numPr>
              <w:rPr>
                <w:szCs w:val="21"/>
              </w:rPr>
            </w:pPr>
            <w:r>
              <w:rPr>
                <w:rFonts w:hint="eastAsia"/>
                <w:szCs w:val="21"/>
              </w:rPr>
              <w:t>办公区域禁止吸烟，现场查看办公区域环境整洁、宽敞、办公设备状态良好、无安全隐患。</w:t>
            </w:r>
          </w:p>
          <w:p>
            <w:pPr>
              <w:numPr>
                <w:ilvl w:val="0"/>
                <w:numId w:val="1"/>
              </w:numPr>
              <w:rPr>
                <w:szCs w:val="21"/>
              </w:rPr>
            </w:pPr>
            <w:r>
              <w:rPr>
                <w:rFonts w:hint="eastAsia"/>
                <w:szCs w:val="21"/>
              </w:rPr>
              <w:t>工作时间平均每天不超过8小时。</w:t>
            </w:r>
          </w:p>
          <w:p>
            <w:pPr>
              <w:numPr>
                <w:ilvl w:val="0"/>
                <w:numId w:val="1"/>
              </w:numPr>
              <w:rPr>
                <w:szCs w:val="21"/>
              </w:rPr>
            </w:pPr>
            <w:r>
              <w:rPr>
                <w:rFonts w:hint="eastAsia"/>
                <w:szCs w:val="21"/>
              </w:rPr>
              <w:t>现场查看办公区域配备的灭火器在有效期内。</w:t>
            </w:r>
          </w:p>
          <w:p>
            <w:pPr>
              <w:numPr>
                <w:ilvl w:val="0"/>
                <w:numId w:val="1"/>
              </w:numPr>
              <w:rPr>
                <w:szCs w:val="21"/>
              </w:rPr>
            </w:pPr>
            <w:r>
              <w:rPr>
                <w:rFonts w:hint="eastAsia"/>
                <w:szCs w:val="21"/>
              </w:rPr>
              <w:t>现场查看办公区域，整洁、光线充足、室内空气良好、配置有空</w:t>
            </w:r>
          </w:p>
          <w:p>
            <w:pPr>
              <w:rPr>
                <w:szCs w:val="21"/>
              </w:rPr>
            </w:pPr>
            <w:r>
              <w:rPr>
                <w:rFonts w:hint="eastAsia"/>
                <w:szCs w:val="21"/>
              </w:rPr>
              <w:t>调，办公条件较好，办公设备安全状态良好，教育员工正确使用办公设备，现场用电基本规范，无乱拉线现象，防止火灾发生。</w:t>
            </w:r>
          </w:p>
          <w:p>
            <w:pPr>
              <w:rPr>
                <w:szCs w:val="21"/>
              </w:rPr>
            </w:pPr>
            <w:r>
              <w:rPr>
                <w:szCs w:val="21"/>
              </w:rPr>
              <w:t>9</w:t>
            </w:r>
            <w:r>
              <w:rPr>
                <w:rFonts w:hint="eastAsia"/>
                <w:szCs w:val="21"/>
              </w:rPr>
              <w:t>、相关方施加影响：公司能够控制或能够施加影响的相关方有顾客等。提供了“致相关方的公开信”，将公司的环境/安全控制要求发放到了所有相关方（</w:t>
            </w:r>
            <w:r>
              <w:rPr>
                <w:rFonts w:hint="eastAsia"/>
                <w:color w:val="000000" w:themeColor="text1"/>
                <w:szCs w:val="21"/>
                <w:lang w:val="en-US" w:eastAsia="zh-CN"/>
              </w:rPr>
              <w:t>南昌华东蓝天发电设备有限公司</w:t>
            </w:r>
            <w:r>
              <w:rPr>
                <w:color w:val="000000" w:themeColor="text1"/>
                <w:szCs w:val="21"/>
              </w:rPr>
              <w:t xml:space="preserve"> </w:t>
            </w:r>
            <w:r>
              <w:rPr>
                <w:rFonts w:hint="eastAsia"/>
                <w:color w:val="FF0000"/>
                <w:szCs w:val="21"/>
              </w:rPr>
              <w:t>、</w:t>
            </w:r>
            <w:r>
              <w:rPr>
                <w:rFonts w:hint="eastAsia"/>
                <w:color w:val="000000" w:themeColor="text1"/>
                <w:szCs w:val="21"/>
              </w:rPr>
              <w:t>泰豪电源技术有限公司</w:t>
            </w:r>
            <w:r>
              <w:rPr>
                <w:rFonts w:hint="eastAsia"/>
                <w:color w:val="FF0000"/>
                <w:szCs w:val="21"/>
              </w:rPr>
              <w:t>、</w:t>
            </w:r>
            <w:r>
              <w:rPr>
                <w:rFonts w:hint="eastAsia"/>
                <w:color w:val="000000" w:themeColor="text1"/>
                <w:szCs w:val="21"/>
                <w:lang w:val="en-US" w:eastAsia="zh-CN"/>
              </w:rPr>
              <w:t xml:space="preserve"> 郑州众智科技股份有限公司</w:t>
            </w:r>
            <w:r>
              <w:rPr>
                <w:rFonts w:hint="eastAsia"/>
                <w:szCs w:val="21"/>
              </w:rPr>
              <w:t>），督促影响各相关方按照环境/安全管理体系要求对环境/安全施加影响。在与顾客沟通和招投标时，通过选择适当时机向顾客宣传本公司的职业健康安全的方针理念以及本公司的具体做法、成绩等，向顾客施加职业健康安全的影响，增强顾客对本公司的信任程度。</w:t>
            </w:r>
          </w:p>
          <w:p>
            <w:pPr>
              <w:rPr>
                <w:szCs w:val="21"/>
              </w:rPr>
            </w:pPr>
            <w:r>
              <w:rPr>
                <w:szCs w:val="21"/>
              </w:rPr>
              <w:t>10</w:t>
            </w:r>
            <w:r>
              <w:rPr>
                <w:rFonts w:hint="eastAsia"/>
                <w:szCs w:val="21"/>
              </w:rPr>
              <w:t>、驾驶员要求遵守道路交通安全法规，不违章驾车，驾驶证和车辆定期年审，确保行车安全。</w:t>
            </w:r>
          </w:p>
        </w:tc>
        <w:tc>
          <w:tcPr>
            <w:tcW w:w="799" w:type="dxa"/>
          </w:tcPr>
          <w:p/>
          <w:p/>
          <w:p/>
          <w:p/>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2160" w:type="dxa"/>
            <w:vAlign w:val="center"/>
          </w:tcPr>
          <w:p>
            <w:pPr>
              <w:rPr>
                <w:rFonts w:hint="eastAsia"/>
                <w:szCs w:val="21"/>
              </w:rPr>
            </w:pPr>
            <w:bookmarkStart w:id="0" w:name="_GoBack"/>
            <w:bookmarkEnd w:id="0"/>
            <w:r>
              <w:rPr>
                <w:rFonts w:hint="eastAsia"/>
                <w:szCs w:val="21"/>
              </w:rPr>
              <w:t>应急准备和响应</w:t>
            </w:r>
          </w:p>
        </w:tc>
        <w:tc>
          <w:tcPr>
            <w:tcW w:w="1067" w:type="dxa"/>
            <w:vAlign w:val="center"/>
          </w:tcPr>
          <w:p>
            <w:pPr>
              <w:rPr>
                <w:color w:val="0000FF"/>
                <w:szCs w:val="21"/>
              </w:rPr>
            </w:pPr>
            <w:r>
              <w:rPr>
                <w:szCs w:val="21"/>
              </w:rPr>
              <w:t>E</w:t>
            </w:r>
            <w:r>
              <w:rPr>
                <w:rFonts w:hint="eastAsia"/>
                <w:szCs w:val="21"/>
                <w:lang w:val="en-US" w:eastAsia="zh-CN"/>
              </w:rPr>
              <w:t>S</w:t>
            </w:r>
            <w:r>
              <w:rPr>
                <w:szCs w:val="21"/>
              </w:rPr>
              <w:t>8.2</w:t>
            </w:r>
          </w:p>
        </w:tc>
        <w:tc>
          <w:tcPr>
            <w:tcW w:w="10683" w:type="dxa"/>
            <w:vAlign w:val="center"/>
          </w:tcPr>
          <w:p>
            <w:pPr>
              <w:ind w:firstLine="420" w:firstLineChars="200"/>
              <w:rPr>
                <w:szCs w:val="21"/>
                <w:lang w:val="zh-CN"/>
              </w:rPr>
            </w:pPr>
            <w:r>
              <w:rPr>
                <w:rFonts w:hint="eastAsia"/>
                <w:szCs w:val="21"/>
                <w:lang w:val="zh-CN"/>
              </w:rPr>
              <w:t>公司制定《应急准备与响应控制程序》，预防或减少潜在安全事故或紧急情况造成的影响，对可能发生的各种重要环境危险源的紧急情况做出积极准备和响应，以减少事故造成的影响。</w:t>
            </w:r>
          </w:p>
          <w:p>
            <w:pPr>
              <w:ind w:firstLine="420" w:firstLineChars="200"/>
              <w:rPr>
                <w:rFonts w:hint="eastAsia"/>
                <w:szCs w:val="21"/>
              </w:rPr>
            </w:pPr>
            <w:r>
              <w:rPr>
                <w:rFonts w:hint="eastAsia"/>
                <w:szCs w:val="21"/>
                <w:lang w:val="zh-CN"/>
              </w:rPr>
              <w:t>提供了《火灾应急预案》等，包括发生火灾等紧急情况的处置和应急抢救方案等内容。采购部参与了由综合部组织的应急演练，详见综合部记录。</w:t>
            </w:r>
          </w:p>
        </w:tc>
        <w:tc>
          <w:tcPr>
            <w:tcW w:w="799" w:type="dxa"/>
          </w:tcPr>
          <w:p/>
          <w:p/>
          <w:p/>
          <w:p>
            <w:pPr>
              <w:rPr>
                <w:rFonts w:hint="default" w:eastAsia="宋体"/>
                <w:lang w:val="en-US" w:eastAsia="zh-CN"/>
              </w:rPr>
            </w:pPr>
            <w:r>
              <w:rPr>
                <w:rFonts w:hint="eastAsia"/>
                <w:lang w:val="en-US" w:eastAsia="zh-CN"/>
              </w:rPr>
              <w:t xml:space="preserve"> y</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A964C8"/>
    <w:multiLevelType w:val="multilevel"/>
    <w:tmpl w:val="6FA964C8"/>
    <w:lvl w:ilvl="0" w:tentative="0">
      <w:start w:val="1"/>
      <w:numFmt w:val="decimal"/>
      <w:lvlText w:val="%1、"/>
      <w:lvlJc w:val="left"/>
      <w:pPr>
        <w:ind w:left="315" w:hanging="3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hlOThiN2ZiYWFhMTVmZWIyMjliZTE5YjA2MDUwOTgifQ=="/>
  </w:docVars>
  <w:rsids>
    <w:rsidRoot w:val="009973B4"/>
    <w:rsid w:val="00013197"/>
    <w:rsid w:val="0001606D"/>
    <w:rsid w:val="000237F6"/>
    <w:rsid w:val="0003373A"/>
    <w:rsid w:val="00062E46"/>
    <w:rsid w:val="000B4DB9"/>
    <w:rsid w:val="000C653A"/>
    <w:rsid w:val="0010259E"/>
    <w:rsid w:val="001A2D7F"/>
    <w:rsid w:val="00207974"/>
    <w:rsid w:val="002523C6"/>
    <w:rsid w:val="002666F8"/>
    <w:rsid w:val="002B49EE"/>
    <w:rsid w:val="002C163B"/>
    <w:rsid w:val="003358E9"/>
    <w:rsid w:val="00337922"/>
    <w:rsid w:val="00340867"/>
    <w:rsid w:val="00345D98"/>
    <w:rsid w:val="00380837"/>
    <w:rsid w:val="003A198A"/>
    <w:rsid w:val="00410914"/>
    <w:rsid w:val="00423DB1"/>
    <w:rsid w:val="00513F73"/>
    <w:rsid w:val="00526A17"/>
    <w:rsid w:val="00536930"/>
    <w:rsid w:val="00564E53"/>
    <w:rsid w:val="00600C20"/>
    <w:rsid w:val="00644D5D"/>
    <w:rsid w:val="00644FE2"/>
    <w:rsid w:val="0067640C"/>
    <w:rsid w:val="0068771F"/>
    <w:rsid w:val="006B434D"/>
    <w:rsid w:val="006B655F"/>
    <w:rsid w:val="006E678B"/>
    <w:rsid w:val="00754D8A"/>
    <w:rsid w:val="007561C6"/>
    <w:rsid w:val="00771FA7"/>
    <w:rsid w:val="007757F3"/>
    <w:rsid w:val="00790A6B"/>
    <w:rsid w:val="00790B48"/>
    <w:rsid w:val="007E6AEB"/>
    <w:rsid w:val="00833937"/>
    <w:rsid w:val="008813F7"/>
    <w:rsid w:val="008954B3"/>
    <w:rsid w:val="008973EE"/>
    <w:rsid w:val="0090425B"/>
    <w:rsid w:val="00957A48"/>
    <w:rsid w:val="00971600"/>
    <w:rsid w:val="009973B4"/>
    <w:rsid w:val="009A278E"/>
    <w:rsid w:val="009C28C1"/>
    <w:rsid w:val="009D6E10"/>
    <w:rsid w:val="009F7EED"/>
    <w:rsid w:val="00A02AB7"/>
    <w:rsid w:val="00A11A66"/>
    <w:rsid w:val="00A80636"/>
    <w:rsid w:val="00A9047E"/>
    <w:rsid w:val="00A96BFB"/>
    <w:rsid w:val="00AA2BEE"/>
    <w:rsid w:val="00AF0AAB"/>
    <w:rsid w:val="00B85DE1"/>
    <w:rsid w:val="00BB2218"/>
    <w:rsid w:val="00BE3E31"/>
    <w:rsid w:val="00BF597E"/>
    <w:rsid w:val="00C0631B"/>
    <w:rsid w:val="00C51209"/>
    <w:rsid w:val="00C51A36"/>
    <w:rsid w:val="00C51D3E"/>
    <w:rsid w:val="00C55228"/>
    <w:rsid w:val="00C84075"/>
    <w:rsid w:val="00CE315A"/>
    <w:rsid w:val="00D06F59"/>
    <w:rsid w:val="00D8388C"/>
    <w:rsid w:val="00D97177"/>
    <w:rsid w:val="00DF1210"/>
    <w:rsid w:val="00E449AA"/>
    <w:rsid w:val="00E6224C"/>
    <w:rsid w:val="00EA273C"/>
    <w:rsid w:val="00EA327F"/>
    <w:rsid w:val="00EB0164"/>
    <w:rsid w:val="00EC436F"/>
    <w:rsid w:val="00ED0F62"/>
    <w:rsid w:val="00EF1884"/>
    <w:rsid w:val="00F13424"/>
    <w:rsid w:val="00F33706"/>
    <w:rsid w:val="00FF6D9A"/>
    <w:rsid w:val="108219C2"/>
    <w:rsid w:val="1BA075CB"/>
    <w:rsid w:val="2C213408"/>
    <w:rsid w:val="2CD13E2D"/>
    <w:rsid w:val="4D5B2F50"/>
    <w:rsid w:val="5EA12B9A"/>
    <w:rsid w:val="605631F4"/>
    <w:rsid w:val="69B0452E"/>
    <w:rsid w:val="796377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字符"/>
    <w:basedOn w:val="7"/>
    <w:link w:val="4"/>
    <w:qFormat/>
    <w:uiPriority w:val="99"/>
    <w:rPr>
      <w:rFonts w:ascii="Times New Roman" w:hAnsi="Times New Roman" w:eastAsia="宋体" w:cs="Times New Roman"/>
      <w:sz w:val="18"/>
      <w:szCs w:val="18"/>
    </w:rPr>
  </w:style>
  <w:style w:type="character" w:customStyle="1" w:styleId="9">
    <w:name w:val="页脚 字符"/>
    <w:basedOn w:val="7"/>
    <w:link w:val="3"/>
    <w:qFormat/>
    <w:uiPriority w:val="99"/>
    <w:rPr>
      <w:rFonts w:ascii="Times New Roman" w:hAnsi="Times New Roman" w:eastAsia="宋体" w:cs="Times New Roman"/>
      <w:sz w:val="18"/>
      <w:szCs w:val="18"/>
    </w:rPr>
  </w:style>
  <w:style w:type="character" w:customStyle="1" w:styleId="10">
    <w:name w:val="批注框文本 字符"/>
    <w:basedOn w:val="7"/>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3214</Words>
  <Characters>3479</Characters>
  <Lines>22</Lines>
  <Paragraphs>6</Paragraphs>
  <TotalTime>10</TotalTime>
  <ScaleCrop>false</ScaleCrop>
  <LinksUpToDate>false</LinksUpToDate>
  <CharactersWithSpaces>4729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2022-08-11T02:36:22Z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489EE6CEEE334F0E8756EF4E6C0E0D44</vt:lpwstr>
  </property>
</Properties>
</file>