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661"/>
        <w:gridCol w:w="626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四川省景成匠心建筑劳务有限公司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四川省遂宁市船山区滨江中路240号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四川省遂宁市船山区滨江中路240号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陈利华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13568731277</w:t>
            </w:r>
            <w:bookmarkEnd w:id="4"/>
          </w:p>
        </w:tc>
        <w:tc>
          <w:tcPr>
            <w:tcW w:w="66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76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陈利华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66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76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0561-2022-QEO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6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1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1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1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1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1142" w:type="dxa"/>
            <w:vAlign w:val="top"/>
          </w:tcPr>
          <w:p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756" w:type="dxa"/>
            <w:gridSpan w:val="8"/>
            <w:vAlign w:val="top"/>
          </w:tcPr>
          <w:p>
            <w:pPr>
              <w:jc w:val="both"/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Q：对外劳务派遣，施工劳务分包</w:t>
            </w:r>
          </w:p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>E：对外劳务派遣，施工劳务分包所涉及场所的相关环境管理活动</w:t>
            </w:r>
          </w:p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>O：对外劳务派遣，施工劳务分包所涉及场所的相关职业健康安全管理活动</w:t>
            </w:r>
            <w:bookmarkEnd w:id="24"/>
          </w:p>
        </w:tc>
        <w:tc>
          <w:tcPr>
            <w:tcW w:w="661" w:type="dxa"/>
            <w:vAlign w:val="top"/>
          </w:tcPr>
          <w:p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62" w:type="dxa"/>
            <w:gridSpan w:val="2"/>
            <w:vAlign w:val="top"/>
          </w:tcPr>
          <w:p>
            <w:pPr>
              <w:jc w:val="both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Q：35.10.00;35.11.00</w:t>
            </w:r>
          </w:p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>E：35.10.00;35.11.00</w:t>
            </w:r>
          </w:p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>O：35.10.00;35.11.00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B/0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2022年08月05日 上午至2022年08月05日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43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36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Q:35.10.00,35.11.00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E:35.10.00,35.11.00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O:35.10.00,35.11.00</w:t>
            </w:r>
          </w:p>
        </w:tc>
        <w:tc>
          <w:tcPr>
            <w:tcW w:w="1543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136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2022-N1OHSMS-3093566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Q:35.10.00,35.11.00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E:35.10.00,35.11.00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O:35.10.00,35.11.00</w:t>
            </w:r>
          </w:p>
        </w:tc>
        <w:tc>
          <w:tcPr>
            <w:tcW w:w="1543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136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Q:35.10.00,35.11.00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E:35.10.00,35.11.00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O:35.10.00,35.11.00</w:t>
            </w:r>
          </w:p>
        </w:tc>
        <w:tc>
          <w:tcPr>
            <w:tcW w:w="1543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136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D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43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136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4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43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3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3"/>
            <w:vAlign w:val="center"/>
          </w:tcPr>
          <w:p/>
        </w:tc>
        <w:tc>
          <w:tcPr>
            <w:tcW w:w="1136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543" w:type="dxa"/>
            <w:gridSpan w:val="3"/>
            <w:vAlign w:val="center"/>
          </w:tcPr>
          <w:p/>
        </w:tc>
        <w:tc>
          <w:tcPr>
            <w:tcW w:w="1136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2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87630</wp:posOffset>
                  </wp:positionV>
                  <wp:extent cx="812800" cy="400050"/>
                  <wp:effectExtent l="0" t="0" r="6350" b="0"/>
                  <wp:wrapNone/>
                  <wp:docPr id="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305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136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2022.8.2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2022.8.2</w:t>
            </w:r>
          </w:p>
        </w:tc>
        <w:tc>
          <w:tcPr>
            <w:tcW w:w="230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136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5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2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  <w:r>
              <w:rPr>
                <w:rFonts w:hint="eastAsia" w:ascii="宋体" w:hAnsi="宋体" w:cs="新宋体"/>
                <w:sz w:val="18"/>
                <w:szCs w:val="18"/>
              </w:rPr>
              <w:t>（含管代和员工代表）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总则；7.1.2人员；7.1.6组织知识；7.4沟通；7.5.1文件化信息总则9.1.1监测、分析和评价总则；9.2内部审核；9.3管理评审；10.1改进 总则；10.3持续改进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both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3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 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OHSMS</w:t>
            </w:r>
            <w:r>
              <w:rPr>
                <w:rFonts w:hint="eastAsia" w:ascii="宋体" w:hAnsi="宋体" w:cs="新宋体"/>
                <w:sz w:val="18"/>
                <w:szCs w:val="18"/>
              </w:rPr>
              <w:t>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9.1监视、测量、分析和评价；9.2内部审核；9.3管理评审；10.1改进 总则；10.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18"/>
                <w:szCs w:val="18"/>
              </w:rPr>
              <w:t>持续改进。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范围的确认、资质的确认、管理体系变化情况、环境监督抽查情况、顾客对环境影响的投诉、认证证书及标识使用情况，上次不符合验证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综合部（含财务）</w:t>
            </w:r>
          </w:p>
        </w:tc>
        <w:tc>
          <w:tcPr>
            <w:tcW w:w="5670" w:type="dxa"/>
            <w:vAlign w:val="top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/权限；6.2质量目标及其实现的策划；7.1.2人员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7.2能力；7.3意识；7.5文件化信息；10.2不符合和纠正措施；</w:t>
            </w:r>
          </w:p>
          <w:p>
            <w:pPr>
              <w:pStyle w:val="2"/>
            </w:pP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6.1.3合规义务；6.2目标及其达成的策划；7.1资源；7.2能力；7.3意识；7.4沟通；7.5文件化信息；8.1运行策划和控制；8.2应急准备和响应；9.1监视、测量、分析与评估；9.1.2符合性评估；10.2不符合和纠正措施；10.3持续改进/EMS运行控制相关财务支出证据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OHSMS</w:t>
            </w:r>
            <w:r>
              <w:rPr>
                <w:rFonts w:hint="eastAsia" w:ascii="宋体" w:hAnsi="宋体" w:cs="新宋体"/>
                <w:sz w:val="18"/>
                <w:szCs w:val="18"/>
              </w:rPr>
              <w:t>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7.1资源;7.2能力；7.3意识；7.4信息和沟通；7.5文件化信息；8.1运行策划和控制；8.2应急准备和响应；9.1监视、测量、分析和评价；9.1.2法律法规要求和其他要求的合规性评价；10.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新宋体"/>
                <w:sz w:val="18"/>
                <w:szCs w:val="18"/>
              </w:rPr>
              <w:t>事件、不符合和纠正措施；10.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18"/>
                <w:szCs w:val="18"/>
              </w:rPr>
              <w:t>持续改进/OHSMS运行控制财务支出证据。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366" w:type="dxa"/>
            <w:gridSpan w:val="4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午餐12：00-12：30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tcBorders>
              <w:right w:val="single" w:color="auto" w:sz="4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0-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1）09：00-09：15去临时项目；2）09：15-11：45临时项目审核；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3）11：45-12：00回公司；</w:t>
            </w:r>
          </w:p>
          <w:p>
            <w:pPr>
              <w:snapToGrid w:val="0"/>
              <w:spacing w:line="320" w:lineRule="exact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4）午餐12：00-12：30；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5）12：30-17：30在公司审核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项目部(含临时场所)</w:t>
            </w:r>
          </w:p>
        </w:tc>
        <w:tc>
          <w:tcPr>
            <w:tcW w:w="5670" w:type="dxa"/>
            <w:tcBorders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</w:rPr>
              <w:t>6.2质量目标及其实现的策划；7.1.3基础设施； 7.1.4过程运行环境；8.1运行策划和控制； 8.3设计开发控制； 8.5.1生产和服务提供的控制； 8.5.2标识和可追溯性；8.5.3顾客或外部供方的财产；8.5.4防护；8.5.5交付后的活动；8.5.6更改控制，8.6产品和服务放行；8.7不合格输出的控制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 6.1.2环境因素；7.4沟通；8.1运行策划和控制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上次不符合项验证）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OHSMS</w:t>
            </w:r>
            <w:r>
              <w:rPr>
                <w:rFonts w:hint="eastAsia" w:ascii="宋体" w:hAnsi="宋体" w:cs="新宋体"/>
                <w:sz w:val="18"/>
                <w:szCs w:val="18"/>
              </w:rPr>
              <w:t>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  <w:tcBorders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bookmarkStart w:id="36" w:name="_GoBack"/>
            <w:bookmarkEnd w:id="36"/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0-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业务部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 8.2产品和服务的要求 ； 8.4外部提供供方的控制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上次不符合项验证）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；9.1.2顾客满意；</w:t>
            </w:r>
          </w:p>
          <w:p>
            <w:pPr>
              <w:snapToGrid w:val="0"/>
              <w:spacing w:line="240" w:lineRule="exact"/>
            </w:pP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  <w:tcBorders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</w:rPr>
            </w:pPr>
          </w:p>
        </w:tc>
        <w:tc>
          <w:tcPr>
            <w:tcW w:w="5670" w:type="dxa"/>
          </w:tcPr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 6.1.2环境因素；7.4沟通；8.1运行策划和控制；8.2应急准备和响应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OHSMS：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2A135BAE"/>
    <w:rsid w:val="3A7C222A"/>
    <w:rsid w:val="465C15D2"/>
    <w:rsid w:val="49E1048E"/>
    <w:rsid w:val="4FED5A65"/>
    <w:rsid w:val="54943B92"/>
    <w:rsid w:val="69B96A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2620</Words>
  <Characters>3944</Characters>
  <Lines>37</Lines>
  <Paragraphs>10</Paragraphs>
  <TotalTime>1</TotalTime>
  <ScaleCrop>false</ScaleCrop>
  <LinksUpToDate>false</LinksUpToDate>
  <CharactersWithSpaces>4018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2022-08-05T01:51:44Z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2052-11.1.0.11875</vt:lpwstr>
  </property>
</Properties>
</file>