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107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：李永洪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刘如春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祝勇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                    审核时间：</w:t>
            </w:r>
            <w:bookmarkStart w:id="0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2022年09月7日</w:t>
            </w:r>
            <w:bookmarkEnd w:id="0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QMS:5.3组织的岗位、职责和权限、6.2质量目标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E/OMS:5.3组织的岗位、职责和权限、6.2.1环境/职业健康安全目标、6.1.2环境因素/危险源的辨识与评价、8.1运行策划和控制、8.2应急准备和响应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财务部现有人员7人，主任1人，财务副总监1人、会计4人、出纳1人；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主要负责公司的资金管理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、财务核算、固定资产账目管理等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识别、评价及控制。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目标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“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2022年对标一流工作方案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”，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查见财务部目标分解：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成本费用占主营业收入比重XX.XX%；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资产负债率XX.XX%；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</w:t>
            </w:r>
            <w:r>
              <w:rPr>
                <w:rFonts w:hint="eastAsia" w:cs="Times New Roman"/>
                <w:lang w:val="en-US" w:eastAsia="zh-CN"/>
              </w:rPr>
              <w:t>责任状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，见</w:t>
            </w:r>
            <w:r>
              <w:rPr>
                <w:rFonts w:hint="eastAsia" w:eastAsia="宋体"/>
                <w:highlight w:val="none"/>
                <w:lang w:val="en-US" w:eastAsia="zh-CN"/>
              </w:rPr>
              <w:t>安全环保指标：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重伤及以上事故为零；杜绝较大以上设备设施事故；轻伤事故控制在10‰以内；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个体呼吸性粉尘采样率达92%以上；工人群平均粉尘浓度合格率达90%以上；严格控制职业病发生，杜绝群体性职业危害事故；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杜绝环境污染事件，实现“三废”达标排放，主要污染物(C0D、S02、氮氧化物和氨氮)排放指标控制在地方政府及集团公司下达的指标范围内；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杜绝重大交通、火灾事故发生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严禁出现安全环保事故、事件瞒报,谎报和迟报情况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制定有重点工作，明确了目标实现的措施。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2022.1-7，上述目标已完成。 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查“环境因素识别、评价表”，销售部的环境因素有办公活动的生活垃圾处置、空调氟利昂泄漏、水电消耗等。考虑了生命周期观点。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采取多因子评价法评价，评价结果显示本部门无重要环境因素；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查“危险源辨识与风险评价记录表”，识别了办公活动中的火灾、触电、车辆等危险源。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对识别出的危险源采取D=LEC进行评价；销售部无公司控制级重大危险源；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建议对差旅途中的职业健康安全风险进行辨识与评价，交流；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策划了风险控制措施；对重要环境因素和不可接受风险进行控制。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基本满足标准要求。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围绕作业过程和风险评价的结果，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策划了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业务、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安全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、环保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管理相关程序文件和管理制度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法律法规和其他要求管理流程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环境因素识别与评价管理流程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危险源辨识、风险评价和控制措施管理流程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、废水控制管理流程、固体废弃物管理流程、通风防尘（毒）管理流程、废气管理流程、噪声管理流程、危险化学品管理流程、安全用电管理流程；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查见会计科目-安全生产费，2022.1-8，计提安全生产费用7，121，395.99元，按照每月原矿处理量5元/吨计提；余额-3953377.43元，介绍说，超出部分将按正常成本费用渠道列支；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主要用于：安全设施、工程改造、安全教育培训费用、应急演练、安全活动等。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基本符合要求。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企业安全生产费用提取和使用管理办法，已征求完意见，即将颁布，安全费用的使用范围有较大变化，应密切关注，交流。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 xml:space="preserve">查见安全生产责任险保单，保费：209，808元，保险期限：2022.8.28-2023.8.27。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auto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办公面积大约60余平方米，工作场所布局合理，座椅和办公桌符合人体工程学要求，员工有自我防护意识，工间能适当走动、休息；各工作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配置有灭火器，状态良好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消防通道、应急指示良好，监控摄像头运行正常；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节约用水用电、纸张双面使用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生活废水经管网排放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至尾坝库污水处理厂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办公用墨盒硒鼓等危废以旧换新；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对部门员工进行了不定期的交通安全宣传。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参加安环部组织的应急演练，详见安环部审核记录。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FF06DBB"/>
    <w:rsid w:val="5DC63F64"/>
    <w:rsid w:val="615D3282"/>
    <w:rsid w:val="6DE54DDB"/>
    <w:rsid w:val="7DE57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1615</Words>
  <Characters>1762</Characters>
  <Lines>1</Lines>
  <Paragraphs>1</Paragraphs>
  <TotalTime>19</TotalTime>
  <ScaleCrop>false</ScaleCrop>
  <LinksUpToDate>false</LinksUpToDate>
  <CharactersWithSpaces>1813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2022-09-08T09:06:10Z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1E565433BF7340B4A56F9CC53823C593</vt:lpwstr>
  </property>
  <property fmtid="{D5CDD505-2E9C-101B-9397-08002B2CF9AE}" pid="3" name="KSOProductBuildVer">
    <vt:lpwstr>2052-11.1.0.12313</vt:lpwstr>
  </property>
</Properties>
</file>