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shd w:val="clear" w:color="auto" w:fill="FFFFFF" w:themeFill="background1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shd w:val="clear" w:color="auto" w:fill="FFFFFF" w:themeFill="background1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员工代表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陈华娇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杨建红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960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10004" w:type="dxa"/>
            <w:gridSpan w:val="2"/>
            <w:shd w:val="clear" w:color="auto" w:fill="FFFFFF" w:themeFill="background1"/>
            <w:vAlign w:val="center"/>
          </w:tcPr>
          <w:p>
            <w:pPr>
              <w:spacing w:before="120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</w:t>
            </w:r>
            <w:r>
              <w:rPr>
                <w:rFonts w:hint="eastAsia"/>
                <w:sz w:val="24"/>
                <w:szCs w:val="24"/>
              </w:rPr>
              <w:t xml:space="preserve">  审核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2022-09-02日</w:t>
            </w:r>
          </w:p>
        </w:tc>
        <w:tc>
          <w:tcPr>
            <w:tcW w:w="1585" w:type="dxa"/>
            <w:vMerge w:val="continue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960" w:type="dxa"/>
            <w:vMerge w:val="continue"/>
            <w:shd w:val="clear" w:color="auto" w:fill="FFFFFF" w:themeFill="background1"/>
            <w:vAlign w:val="center"/>
          </w:tcPr>
          <w:p/>
        </w:tc>
        <w:tc>
          <w:tcPr>
            <w:tcW w:w="10004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.2、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7.4.2</w:t>
            </w:r>
          </w:p>
        </w:tc>
        <w:tc>
          <w:tcPr>
            <w:tcW w:w="1585" w:type="dxa"/>
            <w:vMerge w:val="continue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shd w:val="clear" w:color="auto" w:fill="FFFFFF" w:themeFill="background1"/>
          </w:tcPr>
          <w:p>
            <w:bookmarkStart w:id="0" w:name="_Toc17985666"/>
            <w:r>
              <w:rPr>
                <w:rFonts w:hint="eastAsia" w:ascii="Arial" w:hAnsi="Arial"/>
              </w:rPr>
              <w:t>工作人员的协商和参与</w:t>
            </w:r>
            <w:bookmarkEnd w:id="0"/>
          </w:p>
        </w:tc>
        <w:tc>
          <w:tcPr>
            <w:tcW w:w="960" w:type="dxa"/>
            <w:vMerge w:val="restart"/>
            <w:shd w:val="clear" w:color="auto" w:fill="FFFFFF" w:themeFill="background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pStyle w:val="8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O7.4.2</w:t>
            </w:r>
          </w:p>
        </w:tc>
        <w:tc>
          <w:tcPr>
            <w:tcW w:w="745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管理手册第5.4章、</w:t>
            </w: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《信息交流、协商、参与和沟通控制程序》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60" w:type="dxa"/>
            <w:vMerge w:val="continue"/>
            <w:shd w:val="clear" w:color="auto" w:fill="FFFFFF" w:themeFill="background1"/>
          </w:tcPr>
          <w:p/>
        </w:tc>
        <w:tc>
          <w:tcPr>
            <w:tcW w:w="960" w:type="dxa"/>
            <w:vMerge w:val="continue"/>
            <w:shd w:val="clear" w:color="auto" w:fill="FFFFFF" w:themeFill="background1"/>
          </w:tcPr>
          <w:p/>
        </w:tc>
        <w:tc>
          <w:tcPr>
            <w:tcW w:w="745" w:type="dxa"/>
            <w:shd w:val="clear" w:color="auto" w:fill="FFFFFF" w:themeFill="background1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员工代表：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陈华娇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FF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共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1 名</w:t>
            </w:r>
          </w:p>
          <w:tbl>
            <w:tblPr>
              <w:tblStyle w:val="10"/>
              <w:tblW w:w="180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3"/>
              <w:gridCol w:w="1374"/>
              <w:gridCol w:w="1567"/>
              <w:gridCol w:w="1299"/>
              <w:gridCol w:w="1379"/>
              <w:gridCol w:w="1571"/>
              <w:gridCol w:w="2024"/>
              <w:gridCol w:w="1756"/>
              <w:gridCol w:w="1014"/>
              <w:gridCol w:w="1299"/>
              <w:gridCol w:w="1379"/>
              <w:gridCol w:w="15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协商参与机制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协商时间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资源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访问渠道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回应方式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协商机制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协商时间</w:t>
                  </w:r>
                </w:p>
              </w:tc>
              <w:tc>
                <w:tcPr>
                  <w:tcW w:w="101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</w:tc>
              <w:tc>
                <w:tcPr>
                  <w:tcW w:w="129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资源</w:t>
                  </w:r>
                </w:p>
              </w:tc>
              <w:tc>
                <w:tcPr>
                  <w:tcW w:w="137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访问渠道</w:t>
                  </w:r>
                </w:p>
              </w:tc>
              <w:tc>
                <w:tcPr>
                  <w:tcW w:w="157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回应方式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85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选举工作人员代表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每年1次或者需要时进行选举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每年一次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提供资金、场所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会议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面谈、微信、电话、文件等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选举工作人员代表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工伤调查</w:t>
                  </w:r>
                </w:p>
              </w:tc>
              <w:tc>
                <w:tcPr>
                  <w:tcW w:w="101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合理化建议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随时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按照公司安排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微信、面谈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面谈、微信、文件发放等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01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重大变化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发生前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按照公司安排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会议室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面谈、会议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面谈、文件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01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工伤事件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调查时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按照公司安排</w:t>
                  </w:r>
                </w:p>
              </w:tc>
              <w:tc>
                <w:tcPr>
                  <w:tcW w:w="129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会议室</w:t>
                  </w: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面谈、会议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面谈、文件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756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01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right="0"/>
                    <w:jc w:val="both"/>
                    <w:rPr>
                      <w:rFonts w:hint="default"/>
                      <w:lang w:val="en-US" w:eastAsia="zh-CN"/>
                    </w:rPr>
                  </w:pPr>
                </w:p>
              </w:tc>
            </w:tr>
          </w:tbl>
          <w:p>
            <w:pPr>
              <w:ind w:firstLine="42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>审核周期内没有重大的变化；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>审核周期未发生工伤事故。</w:t>
            </w:r>
          </w:p>
          <w:tbl>
            <w:tblPr>
              <w:tblStyle w:val="10"/>
              <w:tblpPr w:leftFromText="180" w:rightFromText="180" w:vertAnchor="text" w:horzAnchor="page" w:tblpX="92" w:tblpY="304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9"/>
              <w:gridCol w:w="2105"/>
              <w:gridCol w:w="26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协商的内容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协商的时机</w:t>
                  </w:r>
                </w:p>
              </w:tc>
              <w:tc>
                <w:tcPr>
                  <w:tcW w:w="268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实施情况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确定相关方的需求和期望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建立职业健康安全方针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分配组织的角色、职责和权限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确定如何满足法律法规要求和其他要求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制定职业健康安全目标并为其实现进行策划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确定对外包、采购和承包方的适用控制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确定所需监视、测量和评价的内容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策划、建立、实施和保持审核方案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确保持续改进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</w:tbl>
          <w:p>
            <w:pPr>
              <w:pStyle w:val="8"/>
              <w:ind w:left="0" w:leftChars="0" w:firstLine="0" w:firstLineChars="0"/>
              <w:rPr>
                <w:rFonts w:hint="eastAsia"/>
                <w:color w:val="0000FF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u w:val="single"/>
                <w:lang w:val="en-US" w:eastAsia="zh-CN"/>
              </w:rPr>
              <w:t>审核周期内，询问在体系建立时，进行了协商，体系运行后暂时无协商内容。</w:t>
            </w:r>
          </w:p>
          <w:p>
            <w:pPr>
              <w:pStyle w:val="8"/>
              <w:ind w:left="0" w:leftChars="0" w:firstLine="0" w:firstLineChars="0"/>
              <w:rPr>
                <w:rFonts w:hint="default"/>
                <w:color w:val="0000FF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与非管理类工作人员在如下方面的协商：</w:t>
            </w:r>
          </w:p>
          <w:tbl>
            <w:tblPr>
              <w:tblStyle w:val="10"/>
              <w:tblpPr w:leftFromText="180" w:rightFromText="180" w:vertAnchor="text" w:horzAnchor="page" w:tblpX="92" w:tblpY="304"/>
              <w:tblOverlap w:val="never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9"/>
              <w:gridCol w:w="2105"/>
              <w:gridCol w:w="26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参与的内容</w:t>
                  </w: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参与的时机</w:t>
                  </w:r>
                </w:p>
              </w:tc>
              <w:tc>
                <w:tcPr>
                  <w:tcW w:w="268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实施情况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确定其协商和参与的机制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辨识危险源并评价风险和机遇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确定消除危险源和降低职业健康安全风险的措施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确定能力要求、培训需求、培训和培训效果评价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确定沟通的内容和方式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确定控制措施及其有效的实施和应用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49" w:type="dxa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调查事件和不符合并确定纠正措施</w:t>
                  </w:r>
                </w:p>
              </w:tc>
              <w:tc>
                <w:tcPr>
                  <w:tcW w:w="2105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建立体系时</w:t>
                  </w:r>
                </w:p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体系变更时</w:t>
                  </w:r>
                </w:p>
              </w:tc>
              <w:tc>
                <w:tcPr>
                  <w:tcW w:w="268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已实施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未实施</w:t>
                  </w:r>
                </w:p>
              </w:tc>
            </w:tr>
          </w:tbl>
          <w:p>
            <w:pPr>
              <w:pStyle w:val="8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>审核周期内没有发生劳资纠纷；</w:t>
            </w:r>
          </w:p>
          <w:p>
            <w:pPr>
              <w:pStyle w:val="8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近一年组织员工的内部满意度调查，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未实施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已实施，说明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主要是口头进行的，未保留进行已与企业沟通，后期再发生时进行</w:t>
            </w:r>
            <w:r>
              <w:rPr>
                <w:rFonts w:hint="eastAsia"/>
                <w:color w:val="0000FF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； </w:t>
            </w:r>
          </w:p>
          <w:p>
            <w:pPr>
              <w:pStyle w:val="8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shd w:val="clear" w:color="auto" w:fill="FFFFFF" w:themeFill="background1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shd w:val="clear" w:color="auto" w:fill="FFFFFF" w:themeFill="background1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《应急准备与响应程序》、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《各事故应急预案》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shd w:val="clear" w:color="auto" w:fill="FFFFFF" w:themeFill="background1"/>
          </w:tcPr>
          <w:p/>
        </w:tc>
        <w:tc>
          <w:tcPr>
            <w:tcW w:w="960" w:type="dxa"/>
            <w:vMerge w:val="continue"/>
            <w:shd w:val="clear" w:color="auto" w:fill="FFFFFF" w:themeFill="background1"/>
          </w:tcPr>
          <w:p/>
        </w:tc>
        <w:tc>
          <w:tcPr>
            <w:tcW w:w="745" w:type="dxa"/>
            <w:shd w:val="clear" w:color="auto" w:fill="FFFFFF" w:themeFill="background1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本部门是否发生职业健康安全方面的应急的情况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default" w:cs="Times New Roman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未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已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本部门是否发生职业健康安全方面的应急演练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参加公司组织的应急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——</w:t>
            </w:r>
            <w:r>
              <w:rPr>
                <w:rFonts w:hint="eastAsia" w:cs="Times New Roman"/>
                <w:color w:val="0000FF"/>
                <w:kern w:val="2"/>
                <w:sz w:val="21"/>
                <w:u w:val="single"/>
                <w:lang w:val="en-US" w:eastAsia="zh-CN" w:bidi="ar-SA"/>
              </w:rPr>
              <w:t xml:space="preserve">见“生产部审核记录” 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本部门组织的专项应急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——                   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/>
        </w:tc>
        <w:tc>
          <w:tcPr>
            <w:tcW w:w="1585" w:type="dxa"/>
            <w:vMerge w:val="continue"/>
            <w:shd w:val="clear" w:color="auto" w:fill="FFFFFF" w:themeFill="background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60" w:type="dxa"/>
            <w:vMerge w:val="restart"/>
            <w:shd w:val="clear" w:color="auto" w:fill="FFFFFF" w:themeFill="background1"/>
          </w:tcPr>
          <w:p>
            <w:r>
              <w:rPr>
                <w:rFonts w:hint="eastAsia"/>
              </w:rPr>
              <w:t>不符合与纠正措施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O10.2</w:t>
            </w:r>
          </w:p>
        </w:tc>
        <w:tc>
          <w:tcPr>
            <w:tcW w:w="745" w:type="dxa"/>
            <w:shd w:val="clear" w:color="auto" w:fill="FFFFFF" w:themeFill="background1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管理手册 10.2条款、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华文中宋" w:hAnsi="华文中宋" w:eastAsia="华文中宋" w:cs="宋体"/>
                <w:szCs w:val="21"/>
              </w:rPr>
              <w:t>不符合与纠正措施控制程序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2160" w:type="dxa"/>
            <w:vMerge w:val="continue"/>
            <w:shd w:val="clear" w:color="auto" w:fill="FFFFFF" w:themeFill="background1"/>
          </w:tcPr>
          <w:p>
            <w:pPr>
              <w:rPr>
                <w:rFonts w:hint="eastAsia"/>
              </w:rPr>
            </w:pPr>
          </w:p>
        </w:tc>
        <w:tc>
          <w:tcPr>
            <w:tcW w:w="960" w:type="dxa"/>
            <w:vMerge w:val="continue"/>
            <w:shd w:val="clear" w:color="auto" w:fill="FFFFFF" w:themeFill="background1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59" w:type="dxa"/>
            <w:shd w:val="clear" w:color="auto" w:fill="FFFFFF" w:themeFill="background1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不符合的来源：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default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相关方投诉 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未遂事件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工伤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职业病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 xml:space="preserve">工作运行中的问题 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其他（未发生）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抽查采取纠正措施相关记录名称：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《 </w:t>
            </w:r>
            <w:r>
              <w:rPr>
                <w:rFonts w:hint="eastAsia"/>
                <w:color w:val="0000FF"/>
                <w:highlight w:val="none"/>
                <w:u w:val="single"/>
                <w:lang w:val="en-US" w:eastAsia="zh-CN"/>
              </w:rPr>
              <w:t>见行政部审核记录</w:t>
            </w:r>
            <w:bookmarkStart w:id="1" w:name="_GoBack"/>
            <w:bookmarkEnd w:id="1"/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》    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9"/>
              <w:gridCol w:w="1362"/>
              <w:gridCol w:w="1275"/>
              <w:gridCol w:w="1908"/>
              <w:gridCol w:w="2321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6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36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不符合描述</w:t>
                  </w: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不符合纠正</w:t>
                  </w:r>
                </w:p>
              </w:tc>
              <w:tc>
                <w:tcPr>
                  <w:tcW w:w="190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原因分析</w:t>
                  </w:r>
                </w:p>
              </w:tc>
              <w:tc>
                <w:tcPr>
                  <w:tcW w:w="232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66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36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0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未再次发生</w:t>
                  </w:r>
                </w:p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5" w:hRule="atLeast"/>
              </w:trPr>
              <w:tc>
                <w:tcPr>
                  <w:tcW w:w="669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2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75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0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321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1585" w:type="dxa"/>
            <w:vMerge w:val="continue"/>
            <w:shd w:val="clear" w:color="auto" w:fill="FFFFFF" w:themeFill="background1"/>
          </w:tcPr>
          <w:p/>
        </w:tc>
      </w:tr>
    </w:tbl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-33020</wp:posOffset>
          </wp:positionV>
          <wp:extent cx="419100" cy="422275"/>
          <wp:effectExtent l="0" t="0" r="0" b="9525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4D61268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58131E"/>
    <w:rsid w:val="067B702D"/>
    <w:rsid w:val="06994A8D"/>
    <w:rsid w:val="06AA7E97"/>
    <w:rsid w:val="06ED612A"/>
    <w:rsid w:val="0700448C"/>
    <w:rsid w:val="0756155B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97855"/>
    <w:rsid w:val="0ACA6ED2"/>
    <w:rsid w:val="0AD70C30"/>
    <w:rsid w:val="0AEF4D8D"/>
    <w:rsid w:val="0B0C5CAD"/>
    <w:rsid w:val="0B10795D"/>
    <w:rsid w:val="0B3A4AAA"/>
    <w:rsid w:val="0BCE18CC"/>
    <w:rsid w:val="0BE64DFF"/>
    <w:rsid w:val="0C466D6D"/>
    <w:rsid w:val="0C5423F7"/>
    <w:rsid w:val="0C8009B8"/>
    <w:rsid w:val="0C842FD4"/>
    <w:rsid w:val="0CC102DA"/>
    <w:rsid w:val="0CC85F41"/>
    <w:rsid w:val="0CCF7A22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421AE9"/>
    <w:rsid w:val="12491537"/>
    <w:rsid w:val="12563B2D"/>
    <w:rsid w:val="12A2571D"/>
    <w:rsid w:val="12A42EA7"/>
    <w:rsid w:val="12A506D3"/>
    <w:rsid w:val="12CA1FC2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5F3DF9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2F56BB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BB2282"/>
    <w:rsid w:val="17C079EC"/>
    <w:rsid w:val="17C85124"/>
    <w:rsid w:val="17F76BA3"/>
    <w:rsid w:val="18086A43"/>
    <w:rsid w:val="182A66F0"/>
    <w:rsid w:val="183852A8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D94A02"/>
    <w:rsid w:val="1AED5B63"/>
    <w:rsid w:val="1B462375"/>
    <w:rsid w:val="1B5E3B97"/>
    <w:rsid w:val="1B6B0728"/>
    <w:rsid w:val="1C392A3A"/>
    <w:rsid w:val="1C683E38"/>
    <w:rsid w:val="1CB1322F"/>
    <w:rsid w:val="1CEB1474"/>
    <w:rsid w:val="1CEB205D"/>
    <w:rsid w:val="1CF3399B"/>
    <w:rsid w:val="1CFD2AFE"/>
    <w:rsid w:val="1D0B42B9"/>
    <w:rsid w:val="1D4D4A00"/>
    <w:rsid w:val="1D8D5E13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900DE5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5D51EF1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FD563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EEE6E94"/>
    <w:rsid w:val="2F7C571D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0F327A"/>
    <w:rsid w:val="331E21CE"/>
    <w:rsid w:val="332B6F8B"/>
    <w:rsid w:val="33562A0D"/>
    <w:rsid w:val="335C55FD"/>
    <w:rsid w:val="33715F28"/>
    <w:rsid w:val="33F07155"/>
    <w:rsid w:val="340C6245"/>
    <w:rsid w:val="34113C74"/>
    <w:rsid w:val="34194B0A"/>
    <w:rsid w:val="343C4522"/>
    <w:rsid w:val="347A0336"/>
    <w:rsid w:val="348376B7"/>
    <w:rsid w:val="34F03F7C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674FD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5B27D1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60293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3FA6683"/>
    <w:rsid w:val="44350F69"/>
    <w:rsid w:val="44A567F5"/>
    <w:rsid w:val="44A9596F"/>
    <w:rsid w:val="453B1EBC"/>
    <w:rsid w:val="455F6757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5D1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905B44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3D4F84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14B11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E23464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0D17A7"/>
    <w:rsid w:val="64106CE7"/>
    <w:rsid w:val="64621F9C"/>
    <w:rsid w:val="64A537DD"/>
    <w:rsid w:val="64B51DAE"/>
    <w:rsid w:val="64B96E85"/>
    <w:rsid w:val="64BB6795"/>
    <w:rsid w:val="64D069A0"/>
    <w:rsid w:val="64D52CC7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26043C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2F62A7"/>
    <w:rsid w:val="675A3B6C"/>
    <w:rsid w:val="678B4DA6"/>
    <w:rsid w:val="67AF7DB6"/>
    <w:rsid w:val="680564C6"/>
    <w:rsid w:val="681B3F7A"/>
    <w:rsid w:val="68233428"/>
    <w:rsid w:val="683F3E15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B35A0D"/>
    <w:rsid w:val="69CC607C"/>
    <w:rsid w:val="69EA1163"/>
    <w:rsid w:val="69F96768"/>
    <w:rsid w:val="6A28108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180827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EE47C27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4091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20D93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4E78DF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1383</Words>
  <Characters>1423</Characters>
  <Lines>1</Lines>
  <Paragraphs>1</Paragraphs>
  <TotalTime>1</TotalTime>
  <ScaleCrop>false</ScaleCrop>
  <LinksUpToDate>false</LinksUpToDate>
  <CharactersWithSpaces>1533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2022-09-02T07:44:05Z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341B1BB5670447BE826ACE09122DF92E</vt:lpwstr>
  </property>
</Properties>
</file>