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1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5" w:hRule="atLeast"/>
        </w:trPr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  <w:highlight w:val="none"/>
              </w:rPr>
            </w:pPr>
            <w:bookmarkStart w:id="1" w:name="_GoBack"/>
            <w:r>
              <w:rPr>
                <w:rFonts w:hint="eastAsia"/>
                <w:sz w:val="24"/>
                <w:szCs w:val="24"/>
                <w:highlight w:val="none"/>
              </w:rPr>
              <w:t>过程与活动、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涉及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受审核部门：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采购部</w:t>
            </w:r>
            <w:r>
              <w:rPr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邓土娇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陪同人员：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杨建红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03" w:hRule="atLeast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spacing w:before="12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审核员：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肖新龙</w:t>
            </w:r>
            <w:r>
              <w:rPr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highlight w:val="none"/>
              </w:rPr>
              <w:t>审核日期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2022-09-02日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516" w:hRule="atLeast"/>
        </w:trPr>
        <w:tc>
          <w:tcPr>
            <w:tcW w:w="2160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004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审核条款：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</w:t>
            </w:r>
            <w:r>
              <w:rPr>
                <w:highlight w:val="none"/>
              </w:rPr>
              <w:t>MS:</w:t>
            </w:r>
            <w:r>
              <w:rPr>
                <w:rFonts w:hint="eastAsia"/>
                <w:highlight w:val="none"/>
              </w:rPr>
              <w:t>5</w:t>
            </w:r>
            <w:r>
              <w:rPr>
                <w:highlight w:val="none"/>
              </w:rPr>
              <w:t>.3</w:t>
            </w:r>
            <w:r>
              <w:rPr>
                <w:rFonts w:hint="eastAsia"/>
                <w:highlight w:val="none"/>
              </w:rPr>
              <w:t>/</w:t>
            </w:r>
            <w:r>
              <w:rPr>
                <w:highlight w:val="none"/>
              </w:rPr>
              <w:t>6.2</w:t>
            </w:r>
            <w:r>
              <w:rPr>
                <w:rFonts w:hint="eastAsia"/>
                <w:highlight w:val="none"/>
              </w:rPr>
              <w:t>/8.4</w:t>
            </w: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E:5.3/6.1.2/6.1.4/8.1</w:t>
            </w:r>
          </w:p>
          <w:p>
            <w:pPr>
              <w:pStyle w:val="1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O:5.3/6.1.2/6.1.4/8.1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组织的岗位、职责和权限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Q5.3</w:t>
            </w: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  <w:highlight w:val="none"/>
              </w:rPr>
              <w:t>5.3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O5.3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如：管理手册第5.3章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7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采购部主要负责供方的管理、采购计划的安排以及实施采购、采购过程所涉及的环境因素、职业健康危险源的识别及控制，参加公司组织的应急演练、内审、管评等工作。</w:t>
            </w:r>
          </w:p>
          <w:p>
            <w:pPr>
              <w:pStyle w:val="1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询问审核周期内本部门职责未发生变化。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gridBefore w:val="1"/>
          <w:wBefore w:w="10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  <w:highlight w:val="none"/>
              </w:rPr>
              <w:t>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pStyle w:val="2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E6.2</w:t>
            </w:r>
          </w:p>
          <w:p>
            <w:pPr>
              <w:pStyle w:val="2"/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O6.2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《目标、指标和管理方案实施情况监控记录》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82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组织建立了与方针一致的文件化的管理目标。为实现总</w:t>
            </w:r>
            <w:r>
              <w:rPr>
                <w:rFonts w:hint="eastAsia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/>
                <w:szCs w:val="24"/>
                <w:highlight w:val="none"/>
              </w:rPr>
              <w:t>目标而建立的各层级目标具体、有针对性、可测量并且可实现。</w:t>
            </w:r>
          </w:p>
          <w:p>
            <w:pPr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t>本部门分解目标实现情况的评价，及其测量方法是：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371"/>
              <w:gridCol w:w="1587"/>
              <w:gridCol w:w="17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3371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eastAsia"/>
                      <w:szCs w:val="24"/>
                      <w:highlight w:val="none"/>
                    </w:rPr>
                    <w:t>（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2022年1-7月</w:t>
                  </w:r>
                  <w:r>
                    <w:rPr>
                      <w:rFonts w:hint="eastAsia"/>
                      <w:szCs w:val="24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采购材料合格率≥98%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采购材料合格率=（经抽检合格的采购原料的次数/总抽检采购原料的次数）*100%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 </w:t>
                  </w: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供方评价率≥98%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供方评价率=（已评价的供应商数/总供应商数）*100%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  </w:t>
                  </w: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火灾事故发生率0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行政部季度统计结果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重大安全事故为零</w:t>
                  </w: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行政部季度统计结果</w:t>
                  </w: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采购部</w:t>
                  </w:r>
                  <w:r>
                    <w:rPr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3371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szCs w:val="24"/>
                <w:highlight w:val="none"/>
                <w:lang w:val="en-US" w:eastAsia="zh-CN"/>
              </w:rPr>
            </w:pPr>
            <w:r>
              <w:rPr>
                <w:szCs w:val="24"/>
                <w:highlight w:val="none"/>
              </w:rPr>
              <w:fldChar w:fldCharType="begin"/>
            </w:r>
            <w:r>
              <w:rPr>
                <w:szCs w:val="24"/>
                <w:highlight w:val="none"/>
              </w:rPr>
              <w:instrText xml:space="preserve"> </w:instrText>
            </w:r>
            <w:r>
              <w:rPr>
                <w:rFonts w:hint="eastAsia"/>
                <w:szCs w:val="24"/>
                <w:highlight w:val="none"/>
              </w:rPr>
              <w:instrText xml:space="preserve">eq \o\ac(□,√)</w:instrText>
            </w:r>
            <w:r>
              <w:rPr>
                <w:szCs w:val="24"/>
                <w:highlight w:val="none"/>
              </w:rPr>
              <w:fldChar w:fldCharType="end"/>
            </w:r>
            <w:r>
              <w:rPr>
                <w:rFonts w:hint="eastAsia"/>
                <w:szCs w:val="24"/>
                <w:highlight w:val="none"/>
              </w:rPr>
              <w:t>目标已实现</w:t>
            </w:r>
            <w:r>
              <w:rPr>
                <w:rFonts w:hint="eastAsia"/>
                <w:szCs w:val="24"/>
                <w:highlight w:val="none"/>
                <w:lang w:eastAsia="zh-CN"/>
              </w:rPr>
              <w:t>，</w:t>
            </w:r>
          </w:p>
          <w:p>
            <w:pPr>
              <w:rPr>
                <w:szCs w:val="24"/>
                <w:highlight w:val="none"/>
              </w:rPr>
            </w:pPr>
            <w:r>
              <w:rPr>
                <w:rFonts w:hint="eastAsia"/>
                <w:szCs w:val="24"/>
                <w:highlight w:val="none"/>
              </w:rPr>
              <w:sym w:font="Wingdings" w:char="00A8"/>
            </w:r>
            <w:r>
              <w:rPr>
                <w:rFonts w:hint="eastAsia"/>
                <w:szCs w:val="24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外部提供的过程、产品和服务的控制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Q8.4 </w:t>
            </w:r>
          </w:p>
          <w:p>
            <w:pPr>
              <w:pStyle w:val="13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E8.1</w:t>
            </w:r>
          </w:p>
          <w:p>
            <w:pPr>
              <w:pStyle w:val="13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O8.1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采购控制程序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993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09080071"/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外部提供的过程、产品和服务包括：</w:t>
            </w:r>
          </w:p>
          <w:p>
            <w:pPr>
              <w:ind w:left="210" w:leftChars="100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原材料采购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产品的设计和开发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产品检测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某加工工序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部分产品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工装订制   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设备维修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需要维修时返回生产厂家进行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运输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售后服务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不合格品处置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顾客满意调查   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其他    </w:t>
            </w:r>
          </w:p>
          <w:bookmarkEnd w:id="0"/>
          <w:p>
            <w:pPr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外部提供的</w:t>
            </w:r>
            <w:r>
              <w:rPr>
                <w:rFonts w:hint="eastAsia"/>
                <w:highlight w:val="none"/>
                <w:lang w:val="en-US" w:eastAsia="zh-CN"/>
              </w:rPr>
              <w:t>与重要环境因素、职业健康安全风险有关的</w:t>
            </w:r>
            <w:r>
              <w:rPr>
                <w:rFonts w:hint="eastAsia"/>
                <w:highlight w:val="none"/>
              </w:rPr>
              <w:t>过程、产品和服务</w:t>
            </w:r>
            <w:r>
              <w:rPr>
                <w:rFonts w:hint="eastAsia"/>
                <w:highlight w:val="none"/>
                <w:lang w:val="en-US" w:eastAsia="zh-CN"/>
              </w:rPr>
              <w:t>包括：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建筑施工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危化品采购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危化品贮存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某加工工序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放射线探伤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>危险品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运输 </w:t>
            </w:r>
          </w:p>
          <w:p>
            <w:pPr>
              <w:keepNext w:val="0"/>
              <w:keepLines w:val="0"/>
              <w:suppressLineNumbers w:val="0"/>
              <w:spacing w:before="40" w:beforeAutospacing="0" w:after="40" w:afterAutospacing="0" w:line="240" w:lineRule="auto"/>
              <w:ind w:left="0" w:right="0" w:firstLine="210" w:firstLineChars="10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□</w:t>
            </w:r>
            <w:r>
              <w:rPr>
                <w:rFonts w:hint="eastAsia"/>
                <w:highlight w:val="none"/>
                <w:lang w:val="en-US" w:eastAsia="zh-CN"/>
              </w:rPr>
              <w:t xml:space="preserve">设备维修 </w:t>
            </w:r>
            <w:r>
              <w:rPr>
                <w:rFonts w:hint="eastAsia"/>
                <w:highlight w:val="none"/>
                <w:lang w:eastAsia="zh-CN"/>
              </w:rPr>
              <w:t>□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人员培训 </w:t>
            </w:r>
            <w:r>
              <w:rPr>
                <w:rFonts w:hint="eastAsia"/>
                <w:highlight w:val="none"/>
              </w:rPr>
              <w:sym w:font="Wingdings 2" w:char="0052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其他——危废转移</w:t>
            </w:r>
          </w:p>
          <w:p>
            <w:pPr>
              <w:ind w:left="210" w:leftChars="10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从《合格供方名单》中抽取下列证据：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 xml:space="preserve">外部供方的初始评价和选择要求——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</w:instrText>
            </w:r>
            <w:r>
              <w:rPr>
                <w:rFonts w:hint="eastAsia"/>
                <w:highlight w:val="none"/>
              </w:rPr>
              <w:instrText xml:space="preserve">eq \o\ac(□</w:instrText>
            </w:r>
            <w:r>
              <w:rPr>
                <w:rFonts w:hint="eastAsia"/>
                <w:highlight w:val="none"/>
                <w:lang w:eastAsia="zh-CN"/>
              </w:rPr>
              <w:instrText xml:space="preserve">,</w:instrText>
            </w:r>
            <w:r>
              <w:rPr>
                <w:rFonts w:hint="eastAsia"/>
                <w:position w:val="2"/>
                <w:sz w:val="13"/>
                <w:highlight w:val="none"/>
                <w:lang w:eastAsia="zh-CN"/>
              </w:rPr>
              <w:instrText xml:space="preserve">√</w:instrText>
            </w:r>
            <w:r>
              <w:rPr>
                <w:rFonts w:hint="eastAsia"/>
                <w:highlight w:val="none"/>
              </w:rPr>
              <w:instrText xml:space="preserve">)</w:instrText>
            </w:r>
            <w:r>
              <w:rPr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不充分，说明：</w:t>
            </w:r>
            <w:r>
              <w:rPr>
                <w:rFonts w:hint="eastAsia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不涉及新供方</w:t>
            </w:r>
            <w:r>
              <w:rPr>
                <w:rFonts w:hint="eastAsia"/>
                <w:highlight w:val="none"/>
                <w:u w:val="single"/>
              </w:rPr>
              <w:t xml:space="preserve">      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抽查外部供方的评价记录名称：</w:t>
            </w:r>
            <w:r>
              <w:rPr>
                <w:rFonts w:hint="eastAsia"/>
                <w:highlight w:val="none"/>
                <w:u w:val="single"/>
              </w:rPr>
              <w:t xml:space="preserve">《合格供方名单 》 </w:t>
            </w:r>
            <w:r>
              <w:rPr>
                <w:rFonts w:hint="eastAsia"/>
                <w:highlight w:val="none"/>
              </w:rPr>
              <w:t>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27</w:t>
            </w:r>
            <w:r>
              <w:rPr>
                <w:rFonts w:hint="eastAsia"/>
                <w:highlight w:val="none"/>
                <w:u w:val="single"/>
              </w:rPr>
              <w:t>家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涵盖了不干胶标签、RFID电子标签的所有原辅料，但未将危废转移单位、劳保用品等供方列入合格供方名单，已与企业沟通，后期改进。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肇庆英克斯化工有限公司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胶辊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收集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  <w:highlight w:val="none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91441226061527017k  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——（适用时）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《危化品经营许可证》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——不涉及        （适用时）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其他——产品检测报告，样品名称：UV LED INKS，检测单位：华测检测认证集团股份有限公司顺德分公司，报告日期：2021.12.04，检测项目：铅、邻苯二甲酸酯；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MSDS的提供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佛山市新仙都材料有限公司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不干胶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收集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  <w:highlight w:val="none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91440605MA53PWPX10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——（适用时）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《危化品经营许可证》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——不涉及        （适用时）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其他——产品检测报告，样品名称：不干胶材料（水胶），检测单位：SGS，检测项目：铅、巩、一溴联苯等，检测结论：合格；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MSDS的提供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8"/>
              <w:rPr>
                <w:szCs w:val="20"/>
                <w:highlight w:val="none"/>
              </w:rPr>
            </w:pPr>
          </w:p>
          <w:p>
            <w:pPr>
              <w:shd w:val="clear"/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劳保用品采购：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主要是常规的劳保用品，比如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手部洗手液、口罩等物品，从附近</w:t>
            </w:r>
            <w:r>
              <w:rPr>
                <w:rFonts w:hint="eastAsia"/>
                <w:color w:val="0000FF"/>
                <w:highlight w:val="none"/>
                <w:u w:val="single"/>
              </w:rPr>
              <w:t>正规超市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/药店或淘宝旗舰店购买，未保留购买凭证，已与企业沟通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防静电服、防静电帽子从淘宝购买，提供有产品检测报告。</w:t>
            </w:r>
          </w:p>
          <w:p>
            <w:pPr>
              <w:pStyle w:val="2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收集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  <w:highlight w:val="none"/>
                    </w:rPr>
                    <w:t>材料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《生产许可证》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（适用时）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符合合格供方   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不符合合格供方</w:t>
                  </w:r>
                </w:p>
              </w:tc>
            </w:tr>
          </w:tbl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危化品运输控制：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——不涉及危化品，有涉及危险废弃物，危险废弃物的管理见生产部审核记录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6"/>
              <w:gridCol w:w="7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2036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供方名称</w:t>
                  </w:r>
                </w:p>
              </w:tc>
              <w:tc>
                <w:tcPr>
                  <w:tcW w:w="7007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提供的化学品种类</w:t>
                  </w:r>
                </w:p>
              </w:tc>
              <w:tc>
                <w:tcPr>
                  <w:tcW w:w="70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收集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评价资质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材料</w:t>
                  </w:r>
                </w:p>
              </w:tc>
              <w:tc>
                <w:tcPr>
                  <w:tcW w:w="7007" w:type="dxa"/>
                  <w:vAlign w:val="top"/>
                </w:tcPr>
                <w:p>
                  <w:pPr>
                    <w:rPr>
                      <w:rFonts w:hint="default"/>
                      <w:strike/>
                      <w:dstrike w:val="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vertAlign w:val="baseline"/>
                      <w:lang w:val="en-US" w:eastAsia="zh-CN"/>
                    </w:rPr>
                    <w:t>《营业执照》编号：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u w:val="single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strike/>
                      <w:dstrike w:val="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《资质证书》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u w:val="single"/>
                      <w:lang w:val="en-US" w:eastAsia="zh-CN"/>
                    </w:rPr>
                    <w:t xml:space="preserve">           （适用时）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/>
                      <w:strike/>
                      <w:dstrike w:val="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 xml:space="preserve"> 《危化品运输许可证》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vertAlign w:val="baseline"/>
                      <w:lang w:val="en-US" w:eastAsia="zh-CN"/>
                    </w:rPr>
                    <w:t>编号：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u w:val="single"/>
                      <w:lang w:val="en-US" w:eastAsia="zh-CN"/>
                    </w:rPr>
                    <w:t xml:space="preserve">           （适用时）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失效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 xml:space="preserve"> 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MSDS的提供</w:t>
                  </w:r>
                </w:p>
              </w:tc>
              <w:tc>
                <w:tcPr>
                  <w:tcW w:w="7007" w:type="dxa"/>
                </w:tcPr>
                <w:p>
                  <w:pPr>
                    <w:rPr>
                      <w:rFonts w:hint="eastAsia"/>
                      <w:strike/>
                      <w:dstrike w:val="0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strike/>
                      <w:dstrike w:val="0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遵守法规的情况</w:t>
                  </w:r>
                </w:p>
              </w:tc>
              <w:tc>
                <w:tcPr>
                  <w:tcW w:w="7007" w:type="dxa"/>
                </w:tcPr>
                <w:p>
                  <w:pPr>
                    <w:rPr>
                      <w:rFonts w:hint="eastAsia"/>
                      <w:strike/>
                      <w:dstrike w:val="0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6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</w:rPr>
                    <w:t>其他</w:t>
                  </w:r>
                </w:p>
              </w:tc>
              <w:tc>
                <w:tcPr>
                  <w:tcW w:w="7007" w:type="dxa"/>
                </w:tcPr>
                <w:p>
                  <w:pPr>
                    <w:rPr>
                      <w:rFonts w:hint="eastAsia"/>
                      <w:strike/>
                      <w:dstrike w:val="0"/>
                      <w:highlight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36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  <w:highlight w:val="none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vertAlign w:val="baseline"/>
                      <w:lang w:val="en-US" w:eastAsia="zh-CN"/>
                    </w:rPr>
                    <w:t>结论</w:t>
                  </w:r>
                </w:p>
              </w:tc>
              <w:tc>
                <w:tcPr>
                  <w:tcW w:w="7007" w:type="dxa"/>
                </w:tcPr>
                <w:p>
                  <w:pPr>
                    <w:rPr>
                      <w:rFonts w:hint="default"/>
                      <w:strike/>
                      <w:dstrike w:val="0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 xml:space="preserve">满足合格供方要求   </w:t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strike/>
                      <w:dstrike w:val="0"/>
                      <w:highlight w:val="none"/>
                      <w:lang w:val="en-US" w:eastAsia="zh-CN"/>
                    </w:rPr>
                    <w:t>不符合合格供方要求</w:t>
                  </w:r>
                </w:p>
              </w:tc>
            </w:tr>
          </w:tbl>
          <w:p>
            <w:pPr>
              <w:pStyle w:val="8"/>
              <w:ind w:left="0" w:firstLine="0" w:firstLineChars="0"/>
              <w:rPr>
                <w:highlight w:val="none"/>
              </w:rPr>
            </w:pPr>
          </w:p>
          <w:p>
            <w:pPr>
              <w:pStyle w:val="8"/>
              <w:ind w:left="0" w:firstLine="0" w:firstLineChars="0"/>
              <w:rPr>
                <w:highlight w:val="none"/>
              </w:rPr>
            </w:pPr>
          </w:p>
          <w:p>
            <w:pPr>
              <w:rPr>
                <w:strike w:val="0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同时还抽查了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油墨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广州市超彩油墨实业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油墨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赣州华柔新材料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光、哑膜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佛山市南海区齐裕精密徒步有限公司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冷烫膜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岱棱真空科技有限公司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芯片 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伟仕佳杰（重庆）科技有限公司；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不干胶材料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艾利丹尼森（广州）材料有限公司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天线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杭州美思特智能科技股份有限公司；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与上述供方评价和选择控制情况。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一致  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不充分，说明：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观察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在生产现场和库房确认有是否有是从非合格供方处采购的材料。</w:t>
            </w:r>
          </w:p>
          <w:p>
            <w:pPr>
              <w:rPr>
                <w:rFonts w:hint="eastAsia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没有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有，说明： 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8" w:hRule="atLeast"/>
        </w:trPr>
        <w:tc>
          <w:tcPr>
            <w:tcW w:w="2160" w:type="dxa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现场观察</w:t>
            </w:r>
          </w:p>
        </w:tc>
        <w:tc>
          <w:tcPr>
            <w:tcW w:w="9259" w:type="dxa"/>
            <w:shd w:val="clear" w:color="auto" w:fill="auto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在门卫确认是否存在未收集运送危化品（货物）车辆的相关材料。——不涉及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查看车辆检查记录：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抽查车辆，车牌号：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default"/>
                <w:strike/>
                <w:dstrike w:val="0"/>
                <w:highlight w:val="none"/>
                <w:lang w:val="en-US" w:eastAsia="zh-CN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车辆行驶许可证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驾驶员许可证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押运员许可证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车况（含泄露）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防静电（接地链）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没有  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有，说明： 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1585" w:type="dxa"/>
            <w:shd w:val="clear" w:color="auto" w:fill="auto"/>
          </w:tcPr>
          <w:p>
            <w:pPr>
              <w:rPr>
                <w:rFonts w:ascii="宋体" w:hAnsi="宋体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ascii="宋体" w:hAnsi="宋体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strike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控制类型和程度</w:t>
            </w: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Q8.4.2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如：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采购控制程序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符合</w:t>
            </w: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114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对供方控制的类型和程度要求：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充分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不充分，说明： </w:t>
            </w:r>
            <w:r>
              <w:rPr>
                <w:rFonts w:hint="eastAsia"/>
                <w:highlight w:val="none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highlight w:val="none"/>
                <w:u w:val="single"/>
                <w:shd w:val="pct10" w:color="auto" w:fill="FFFFFF"/>
              </w:rPr>
            </w:pPr>
            <w:r>
              <w:rPr>
                <w:rFonts w:hint="eastAsia"/>
                <w:highlight w:val="none"/>
              </w:rPr>
              <w:t>抽查重要供方的评价记录名称：</w:t>
            </w:r>
            <w:r>
              <w:rPr>
                <w:rFonts w:hint="eastAsia"/>
                <w:highlight w:val="none"/>
                <w:u w:val="single"/>
              </w:rPr>
              <w:t>《供方评定记录表》，</w:t>
            </w:r>
            <w:r>
              <w:rPr>
                <w:rFonts w:hint="eastAsia"/>
                <w:highlight w:val="none"/>
                <w:u w:val="single"/>
              </w:rPr>
              <w:t>另外，抽查：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肇庆英克斯化工有限公司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胶辊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8"/>
              <w:rPr>
                <w:highlight w:val="none"/>
                <w:u w:val="single"/>
              </w:rPr>
            </w:pPr>
          </w:p>
          <w:tbl>
            <w:tblPr>
              <w:tblStyle w:val="10"/>
              <w:tblpPr w:leftFromText="180" w:rightFromText="180" w:vertAnchor="text" w:horzAnchor="page" w:tblpX="120" w:tblpY="31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color w:val="000000" w:themeColor="text1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伟仕佳杰（重庆）科技有限公司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8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color w:val="000000" w:themeColor="text1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芯片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8"/>
              <w:rPr>
                <w:highlight w:val="none"/>
                <w:u w:val="single"/>
              </w:rPr>
            </w:pPr>
          </w:p>
          <w:tbl>
            <w:tblPr>
              <w:tblStyle w:val="10"/>
              <w:tblpPr w:leftFromText="180" w:rightFromText="180" w:vertAnchor="text" w:horzAnchor="page" w:tblpX="120" w:tblpY="31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color w:val="000000" w:themeColor="text1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佛山市南海区齐裕精密徒步有限公司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8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color w:val="000000" w:themeColor="text1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光、哑膜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8"/>
              <w:rPr>
                <w:highlight w:val="none"/>
                <w:u w:val="single"/>
              </w:rPr>
            </w:pPr>
          </w:p>
          <w:p>
            <w:pPr>
              <w:pStyle w:val="8"/>
              <w:rPr>
                <w:highlight w:val="none"/>
                <w:u w:val="single"/>
              </w:rPr>
            </w:pPr>
          </w:p>
          <w:p>
            <w:pPr>
              <w:pStyle w:val="8"/>
              <w:rPr>
                <w:highlight w:val="none"/>
                <w:u w:val="single"/>
              </w:rPr>
            </w:pPr>
          </w:p>
          <w:p>
            <w:pPr>
              <w:pStyle w:val="8"/>
              <w:rPr>
                <w:highlight w:val="none"/>
                <w:u w:val="single"/>
              </w:rPr>
            </w:pPr>
          </w:p>
          <w:tbl>
            <w:tblPr>
              <w:tblStyle w:val="10"/>
              <w:tblpPr w:leftFromText="180" w:rightFromText="180" w:vertAnchor="text" w:horzAnchor="page" w:tblpX="120" w:tblpY="318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pPr>
                    <w:rPr>
                      <w:color w:val="FF0000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供方名称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color w:val="000000" w:themeColor="text1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广州市超彩油墨实业</w:t>
                  </w:r>
                  <w:r>
                    <w:rPr>
                      <w:rFonts w:hint="eastAsia"/>
                      <w:strike w:val="0"/>
                      <w:color w:val="000000" w:themeColor="text1"/>
                      <w:highlight w:val="none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pStyle w:val="8"/>
                    <w:ind w:left="0" w:leftChars="0" w:firstLine="0" w:firstLine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trike w:val="0"/>
                      <w:color w:val="000000" w:themeColor="text1"/>
                      <w:highlight w:val="none"/>
                      <w:u w:val="singl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油墨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验证数量、外观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查验供方的产品合格证、检验报告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采购（外包过程）产品的进货检验或验证要求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查验国家、行业、第三方产品检验报告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第三方管理体系、产品认证的要求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第二方体系、过程产品的审核、验证的要求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生产件批准程序的要求（或部分要求——产品、过程和设备的批准要求）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人员资格的要求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对供方的供方的管理体系要求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评价、选择和再评价供方的内容、资质、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价格、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产品质量、设备水平和状况、测量系统、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技术水平、人员素质和能力、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信誉、交付、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守法意识、本行业中的地位、以往业绩、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其他顾客满意程度、财务、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 xml:space="preserve">对供方控制有效  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对供方控制失效 </w:t>
                  </w:r>
                </w:p>
              </w:tc>
            </w:tr>
          </w:tbl>
          <w:p>
            <w:pPr>
              <w:pStyle w:val="8"/>
              <w:ind w:left="0" w:leftChars="0" w:firstLine="0" w:firstLineChars="0"/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rFonts w:hint="eastAsia" w:eastAsia="宋体"/>
                <w:highlight w:val="none"/>
                <w:u w:val="singl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rPr>
                <w:highlight w:val="none"/>
              </w:rPr>
            </w:pP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同时还抽查了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冷烫膜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岱棱真空科技有限公司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不干胶材料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艾利丹尼森（广州）材料有限公司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天线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的供方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杭州美思特智能科技股份有限公司；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与上述供方选择及评价一致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一致   </w:t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不充分，说明： </w:t>
            </w:r>
            <w:r>
              <w:rPr>
                <w:rFonts w:hint="eastAsia"/>
                <w:strike w:val="0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提供给外部供方的信息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Q8.4.3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手册第</w:t>
            </w: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8.4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采购控制程序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 w:ascii="宋体" w:hAnsi="宋体"/>
                <w:highlight w:val="none"/>
              </w:rPr>
              <w:t>符合</w:t>
            </w:r>
          </w:p>
          <w:p>
            <w:pPr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6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在与外部供方沟通之前，所确定的要求是：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充分适宜   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不充分适宜，说明： </w:t>
            </w:r>
            <w:r>
              <w:rPr>
                <w:rFonts w:hint="eastAsia"/>
                <w:color w:val="000000" w:themeColor="text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《采购合同》及《采购计划》</w: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eq \o\ac(□</w:instrTex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,</w:instrText>
            </w:r>
            <w:r>
              <w:rPr>
                <w:rFonts w:hint="eastAsia" w:ascii="宋体" w:hAnsi="宋体"/>
                <w:color w:val="000000" w:themeColor="text1"/>
                <w:position w:val="2"/>
                <w:sz w:val="13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√</w:instrText>
            </w:r>
            <w:r>
              <w:rPr>
                <w:rFonts w:hint="eastAsia"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instrText xml:space="preserve">)</w:instrText>
            </w:r>
            <w:r>
              <w:rPr>
                <w:rFonts w:ascii="宋体" w:hAnsi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采购单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》。组织与外部供方沟通以下要求：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39"/>
              <w:gridCol w:w="2264"/>
              <w:gridCol w:w="1808"/>
              <w:gridCol w:w="20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采购订单号/日期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02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日</w:t>
                  </w:r>
                </w:p>
              </w:tc>
              <w:tc>
                <w:tcPr>
                  <w:tcW w:w="2032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2022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月 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过程、产品和服务名称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光膜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集成电路原片（芯片）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天线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过程、产品和服务要求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客户标准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要求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、《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原料验收检验规范要求》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客户标准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要求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、《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原料验收检验规范要求》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客户标准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要求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、《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原料验收检验规范要求》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产品和服务批准； 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厂长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厂长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厂长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方法、过程和设备的批准；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生产部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生产部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生产部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产品和服务的放行的批准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质检部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质检部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能力，包括所要求的人员资格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无特殊要求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无特殊要求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无特殊要求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外部供方与组织的互动；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运输送货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交货地点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运输送货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交货地点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等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运输送货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交货地点</w:t>
                  </w: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组织使用的外部供方绩效的控制和监视；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供方评价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供方评价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供方评价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39" w:type="dxa"/>
                </w:tcPr>
                <w:p>
                  <w:pP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组织或其顾客拟在外部供方现场实施的验证或确认活动。</w:t>
                  </w:r>
                </w:p>
              </w:tc>
              <w:tc>
                <w:tcPr>
                  <w:tcW w:w="2264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highlight w:val="none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不涉及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不涉及</w:t>
                  </w:r>
                </w:p>
              </w:tc>
              <w:tc>
                <w:tcPr>
                  <w:tcW w:w="20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不涉及</w:t>
                  </w:r>
                </w:p>
              </w:tc>
            </w:tr>
          </w:tbl>
          <w:p>
            <w:pP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Cs w:val="21"/>
                <w:highlight w:val="none"/>
              </w:rPr>
              <w:t>手册第6.1.2条款、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《环境因素、危险源识别评价控制程序》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171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查看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《环境因素识别、评价、控制表》、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《重要环境因素清单》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与部门职责相关的主要环境因素及其控制措施是：</w:t>
            </w:r>
          </w:p>
          <w:tbl>
            <w:tblPr>
              <w:tblStyle w:val="9"/>
              <w:tblW w:w="104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7"/>
              <w:gridCol w:w="2835"/>
              <w:gridCol w:w="3838"/>
              <w:gridCol w:w="1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91" w:type="dxa"/>
              </w:trPr>
              <w:tc>
                <w:tcPr>
                  <w:tcW w:w="2397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状态</w:t>
                  </w:r>
                </w:p>
              </w:tc>
              <w:tc>
                <w:tcPr>
                  <w:tcW w:w="3838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7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潜在意外火灾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</w:rPr>
                    <w:sym w:font="Wingdings" w:char="00A8"/>
                  </w:r>
                  <w:r>
                    <w:rPr>
                      <w:rFonts w:hint="default"/>
                      <w:highlight w:val="none"/>
                    </w:rPr>
                    <w:t xml:space="preserve">正常 </w:t>
                  </w:r>
                  <w:r>
                    <w:rPr>
                      <w:rFonts w:hint="default"/>
                      <w:highlight w:val="none"/>
                    </w:rPr>
                    <w:sym w:font="Wingdings" w:char="00FE"/>
                  </w:r>
                  <w:r>
                    <w:rPr>
                      <w:rFonts w:hint="default"/>
                      <w:highlight w:val="none"/>
                    </w:rPr>
                    <w:t xml:space="preserve">异常 </w:t>
                  </w:r>
                  <w:r>
                    <w:rPr>
                      <w:rFonts w:hint="default"/>
                      <w:highlight w:val="none"/>
                    </w:rPr>
                    <w:sym w:font="Wingdings" w:char="00FE"/>
                  </w:r>
                  <w:r>
                    <w:rPr>
                      <w:rFonts w:hint="default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lang w:val="en-US" w:eastAsia="zh-CN"/>
                    </w:rPr>
                    <w:t>执行《消防安全管理规定》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lang w:val="en-US" w:eastAsia="zh-CN"/>
                    </w:rPr>
                    <w:t>运行控制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91" w:type="dxa"/>
              </w:trPr>
              <w:tc>
                <w:tcPr>
                  <w:tcW w:w="2397" w:type="dxa"/>
                  <w:vAlign w:val="center"/>
                </w:tcPr>
                <w:p>
                  <w:pPr>
                    <w:widowControl/>
                    <w:rPr>
                      <w:highlight w:val="none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正常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异常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838" w:type="dxa"/>
                  <w:vAlign w:val="center"/>
                </w:tcPr>
                <w:p>
                  <w:pPr>
                    <w:widowControl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391" w:type="dxa"/>
              </w:trPr>
              <w:tc>
                <w:tcPr>
                  <w:tcW w:w="2397" w:type="dxa"/>
                  <w:vAlign w:val="center"/>
                </w:tcPr>
                <w:p>
                  <w:pPr>
                    <w:widowControl/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283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838" w:type="dxa"/>
                  <w:vAlign w:val="center"/>
                </w:tcPr>
                <w:p>
                  <w:pPr>
                    <w:widowControl/>
                    <w:jc w:val="center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火灾应急演练参加公司组织的，详见“行政部审核记录”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O6.1.2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Cs w:val="21"/>
                <w:highlight w:val="none"/>
              </w:rPr>
              <w:t>手册第6.1.2条款、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《环境因素、危险源识别评价控制程序》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6146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与</w:t>
            </w:r>
            <w:r>
              <w:rPr>
                <w:rFonts w:hint="eastAsia"/>
                <w:b/>
                <w:bCs/>
                <w:highlight w:val="none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</w:rPr>
              <w:t>责相关的主要危险源及其控制</w:t>
            </w:r>
            <w:r>
              <w:rPr>
                <w:rFonts w:hint="eastAsia"/>
                <w:b/>
                <w:bCs/>
                <w:highlight w:val="none"/>
              </w:rPr>
              <w:t>措施是</w:t>
            </w:r>
            <w:r>
              <w:rPr>
                <w:rFonts w:hint="eastAsia"/>
                <w:highlight w:val="none"/>
              </w:rPr>
              <w:t>：</w:t>
            </w: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本部门的主要危险源包括：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机械伤害：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物体打击  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高空落物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高空坠落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车辆撞人 （交通事故）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其他——</w:t>
            </w: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化学伤害：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食物中毒 </w:t>
            </w:r>
            <w:r>
              <w:rPr>
                <w:highlight w:val="none"/>
              </w:rPr>
              <w:t xml:space="preserve"> 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灼烧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粉尘  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窒息（受限空间）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其他——</w:t>
            </w:r>
          </w:p>
          <w:p>
            <w:pPr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冷热伤害：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烫伤 口中暑  口冻伤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电的伤害：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触电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雷击 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其他——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火灾伤害：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爆炸 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灼烧  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声音伤害：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噪声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评价不可接受风险的准则：《</w:t>
            </w:r>
            <w:r>
              <w:rPr>
                <w:rFonts w:hint="eastAsia"/>
                <w:szCs w:val="22"/>
                <w:highlight w:val="none"/>
              </w:rPr>
              <w:t>危险源辨识别和控制程序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u w:val="single"/>
              </w:rPr>
              <w:t xml:space="preserve">LEC法  </w:t>
            </w:r>
          </w:p>
          <w:p>
            <w:pPr>
              <w:rPr>
                <w:b/>
                <w:bCs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涉及本部门的</w:t>
            </w:r>
            <w:r>
              <w:rPr>
                <w:rFonts w:hint="eastAsia"/>
                <w:b/>
                <w:bCs/>
                <w:highlight w:val="none"/>
              </w:rPr>
              <w:t>重要危险源，及其控制措施是</w:t>
            </w:r>
            <w:r>
              <w:rPr>
                <w:rFonts w:hint="eastAsia"/>
                <w:highlight w:val="none"/>
              </w:rPr>
              <w:t>：</w:t>
            </w:r>
          </w:p>
          <w:tbl>
            <w:tblPr>
              <w:tblStyle w:val="9"/>
              <w:tblW w:w="8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2208"/>
              <w:gridCol w:w="402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highlight w:val="none"/>
                    </w:rPr>
                    <w:t>重要危险源/不可接受风险</w:t>
                  </w:r>
                </w:p>
              </w:tc>
              <w:tc>
                <w:tcPr>
                  <w:tcW w:w="220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职业健康安全风险</w:t>
                  </w:r>
                </w:p>
              </w:tc>
              <w:tc>
                <w:tcPr>
                  <w:tcW w:w="402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8820"/>
                    </w:tabs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火灾</w:t>
                  </w:r>
                </w:p>
              </w:tc>
              <w:tc>
                <w:tcPr>
                  <w:tcW w:w="2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财产损失、人身伤害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402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GB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《职业健康安全管理方案》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top"/>
                </w:tcPr>
                <w:p>
                  <w:pPr>
                    <w:tabs>
                      <w:tab w:val="left" w:pos="8820"/>
                    </w:tabs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突发疫情损害健康</w:t>
                  </w:r>
                </w:p>
              </w:tc>
              <w:tc>
                <w:tcPr>
                  <w:tcW w:w="2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人身伤害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40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《职业健康安全管理方案》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top"/>
                </w:tcPr>
                <w:p>
                  <w:pPr>
                    <w:tabs>
                      <w:tab w:val="left" w:pos="8820"/>
                    </w:tabs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意外伤害（滑倒摔伤、交通事故）</w:t>
                  </w:r>
                </w:p>
              </w:tc>
              <w:tc>
                <w:tcPr>
                  <w:tcW w:w="220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highlight w:val="none"/>
                      <w:lang w:val="en-US" w:eastAsia="zh-CN"/>
                    </w:rPr>
                    <w:t>人身伤害</w:t>
                  </w:r>
                  <w:r>
                    <w:rPr>
                      <w:rFonts w:hint="eastAsia" w:ascii="宋体" w:hAnsi="宋体"/>
                      <w:color w:val="000000"/>
                      <w:sz w:val="21"/>
                      <w:szCs w:val="21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4029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《职业健康安全管理方案》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2208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4029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疫情防控按照当地政府要求进行执行。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EO6.1.4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tabs>
                <w:tab w:val="center" w:pos="4567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手册第6.1.4条款、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《职业健康安全管理方案》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《环境目标指标及方案》</w:t>
            </w:r>
            <w:r>
              <w:rPr>
                <w:highlight w:val="none"/>
              </w:rPr>
              <w:tab/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3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464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组织针对重要环境因素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危险源</w:t>
            </w:r>
            <w:r>
              <w:rPr>
                <w:rFonts w:hint="eastAsia"/>
                <w:highlight w:val="none"/>
              </w:rPr>
              <w:t>、合规义务、风险和机遇制订了控制措施（管理方案），抽查</w:t>
            </w:r>
            <w:r>
              <w:rPr>
                <w:rFonts w:hint="eastAsia"/>
                <w:highlight w:val="none"/>
                <w:lang w:val="en-US" w:eastAsia="zh-CN"/>
              </w:rPr>
              <w:t>本部门涉及的重要环境因素、不可接受危险源等措施情况：</w:t>
            </w:r>
          </w:p>
          <w:tbl>
            <w:tblPr>
              <w:tblStyle w:val="9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4"/>
              <w:gridCol w:w="1080"/>
              <w:gridCol w:w="5396"/>
              <w:gridCol w:w="1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控制内容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类别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控制措施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  <w:highlight w:val="none"/>
                    </w:rPr>
                    <w:t>意外火灾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重要环境因素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/不可接受危险源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 xml:space="preserve">1 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行政部组织各部门管理人员学习《消防法》、《应急准备和响应控制程序》、《消防管理规定》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配备充足消防器材、物资,消防设施进行有明显标志, 消防设施设备能正常运行，可随时启用,消防通道畅通;行政部每月和重大节假日前组织进行安全检查，查找、消除安全隐患,特别是电气开关、电气线路有无老化、破损;3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加强外来提供电工作业电工人员资格管理，确认持证上岗资格；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4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加强安全知识的普及宣传，并通过会议、培训、座谈等形式提高员工环境/安全意识和技能,公司每年至少开展2次宣传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5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行政部每年组织一次消防演练,确保相关人员掌握消防基本知识和技能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6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定期检查消防设施的完好性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。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spacing w:line="340" w:lineRule="exact"/>
                    <w:jc w:val="center"/>
                    <w:rPr>
                      <w:rFonts w:hint="eastAsia" w:ascii="宋体" w:hAnsi="宋体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tabs>
                      <w:tab w:val="left" w:pos="8820"/>
                    </w:tabs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突发疫情损害健康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不可接受危险源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>
                  <w:pPr>
                    <w:spacing w:line="380" w:lineRule="exac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加强安全教育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对外出员工需配带口罩等进行防护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定期对员工进行新冠疫情的防护培训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4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不定期对车辆、食堂等场所进行消杀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tabs>
                      <w:tab w:val="left" w:pos="8820"/>
                    </w:tabs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意外伤害（滑倒摔伤、交通事故）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不可接受危险源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>
                  <w:pPr>
                    <w:spacing w:line="380" w:lineRule="exac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1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加强安全教育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2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对可能发生意外伤害的设备或行为进行防护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；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3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定期对员工进行交通的培训。4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t>对运营过程中可能产生意外伤害的环节进行控制。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  <w:t>上述控制措施主要体现在：</w:t>
            </w:r>
            <w:r>
              <w:rPr>
                <w:color w:val="0000FF"/>
                <w:sz w:val="21"/>
                <w:szCs w:val="21"/>
                <w:highlight w:val="none"/>
                <w:u w:val="single"/>
              </w:rPr>
              <w:sym w:font="Wingdings" w:char="00FE"/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</w:rPr>
              <w:t>《职业健康安全管理方案》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eastAsia="zh-CN"/>
              </w:rPr>
              <w:t>、</w:t>
            </w:r>
            <w:r>
              <w:rPr>
                <w:color w:val="0000FF"/>
                <w:sz w:val="21"/>
                <w:szCs w:val="21"/>
                <w:highlight w:val="none"/>
                <w:u w:val="single"/>
              </w:rPr>
              <w:sym w:font="Wingdings" w:char="00FE"/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eastAsia="zh-CN"/>
              </w:rPr>
              <w:t>《环境目标指标及方案》</w:t>
            </w:r>
            <w:r>
              <w:rPr>
                <w:rFonts w:hint="eastAsia"/>
                <w:color w:val="0000FF"/>
                <w:sz w:val="21"/>
                <w:szCs w:val="21"/>
                <w:highlight w:val="none"/>
                <w:u w:val="single"/>
                <w:lang w:val="en-US" w:eastAsia="zh-CN"/>
              </w:rPr>
              <w:t>中，现场抽查职业健康安全管理方案均按照策划在实施中。</w:t>
            </w: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EHS运行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E8.1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>8.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szCs w:val="22"/>
                <w:highlight w:val="none"/>
                <w:lang w:val="en-US" w:eastAsia="zh-CN"/>
              </w:rPr>
              <w:t>如：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管理手册8.1条款、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《环境、职业安全运行控制程序》、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《水电管理制度》、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《固体废弃物管理制度》</w:t>
            </w:r>
          </w:p>
        </w:tc>
        <w:tc>
          <w:tcPr>
            <w:tcW w:w="1585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13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0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auto"/>
          </w:tcPr>
          <w:p>
            <w:pPr>
              <w:pStyle w:val="13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1.节约用电的控制：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随手关灯、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下班前关闭电源、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控制空调温度（夏季≥26℃；冬季≤20℃）</w:t>
            </w:r>
          </w:p>
          <w:p>
            <w:pPr>
              <w:pStyle w:val="13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13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2.节约用水的控制：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随手关水龙头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使用节水龙头及马桶</w:t>
            </w:r>
          </w:p>
          <w:p>
            <w:pPr>
              <w:pStyle w:val="13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1"/>
              </w:num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节约用纸的控制：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纸张双面使用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尽量采用电子版文件 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电子化办公系统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2"/>
              </w:num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本部门危险废弃物的管理：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将墨盒、硒鼓，交行政部统一管理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3"/>
              </w:numPr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外来人员的安全管理：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进行安全告知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陪同参观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疫情防控扫健康码报备等</w:t>
            </w:r>
          </w:p>
          <w:p>
            <w:pPr>
              <w:pStyle w:val="13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>外出人员的安全管理：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 xml:space="preserve">进行安全教育 </w:t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u w:val="single"/>
                <w:vertAlign w:val="baseline"/>
                <w:lang w:val="en-US" w:eastAsia="zh-CN"/>
              </w:rPr>
              <w:t>配备个人安全专职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3"/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消防的管理：办公区配置灭火器，主要由行政部负责管理；具体见行政部审核记录</w:t>
            </w: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8. 环境和安全对顾客的影响：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签订EHS协议/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环境和安全告知书/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安全告知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25" w:after="25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13"/>
              <w:numPr>
                <w:ilvl w:val="0"/>
                <w:numId w:val="4"/>
              </w:num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原辅料MSDS的传递：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纸质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电子版 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 xml:space="preserve">产品标签 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不适用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spacing w:before="25" w:after="25"/>
              <w:ind w:leftChars="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bookmarkEnd w:id="1"/>
    </w:tbl>
    <w:p>
      <w:pPr>
        <w:rPr>
          <w:color w:val="FF0000"/>
        </w:rPr>
      </w:pPr>
    </w:p>
    <w:p/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7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-57785</wp:posOffset>
          </wp:positionV>
          <wp:extent cx="472440" cy="475615"/>
          <wp:effectExtent l="0" t="0" r="10160" b="698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6B206"/>
    <w:multiLevelType w:val="singleLevel"/>
    <w:tmpl w:val="F976B20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121F3D"/>
    <w:multiLevelType w:val="singleLevel"/>
    <w:tmpl w:val="26121F3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29D95B"/>
    <w:multiLevelType w:val="singleLevel"/>
    <w:tmpl w:val="6529D95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E92F15"/>
    <w:multiLevelType w:val="singleLevel"/>
    <w:tmpl w:val="7FE92F1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71522"/>
    <w:rsid w:val="00073A25"/>
    <w:rsid w:val="000A4138"/>
    <w:rsid w:val="000E6B21"/>
    <w:rsid w:val="00161E82"/>
    <w:rsid w:val="00182530"/>
    <w:rsid w:val="0019695B"/>
    <w:rsid w:val="001A2D7F"/>
    <w:rsid w:val="001C7DD2"/>
    <w:rsid w:val="002939AD"/>
    <w:rsid w:val="00314AF6"/>
    <w:rsid w:val="00337922"/>
    <w:rsid w:val="00340867"/>
    <w:rsid w:val="00380837"/>
    <w:rsid w:val="003A198A"/>
    <w:rsid w:val="003B21C4"/>
    <w:rsid w:val="003B2496"/>
    <w:rsid w:val="003B4966"/>
    <w:rsid w:val="00410914"/>
    <w:rsid w:val="00417D46"/>
    <w:rsid w:val="00423D3B"/>
    <w:rsid w:val="00474F25"/>
    <w:rsid w:val="0048201E"/>
    <w:rsid w:val="005223A0"/>
    <w:rsid w:val="00536930"/>
    <w:rsid w:val="00564E53"/>
    <w:rsid w:val="0056561D"/>
    <w:rsid w:val="005D5659"/>
    <w:rsid w:val="00600C20"/>
    <w:rsid w:val="00644FE2"/>
    <w:rsid w:val="00670B28"/>
    <w:rsid w:val="0067640C"/>
    <w:rsid w:val="006A55E2"/>
    <w:rsid w:val="006E678B"/>
    <w:rsid w:val="006E7B1D"/>
    <w:rsid w:val="006F277F"/>
    <w:rsid w:val="00721894"/>
    <w:rsid w:val="00744C1A"/>
    <w:rsid w:val="00747832"/>
    <w:rsid w:val="00751C5D"/>
    <w:rsid w:val="007757F3"/>
    <w:rsid w:val="0079152F"/>
    <w:rsid w:val="007C1B48"/>
    <w:rsid w:val="007E3B15"/>
    <w:rsid w:val="007E52E7"/>
    <w:rsid w:val="007E6AEB"/>
    <w:rsid w:val="007F0B9E"/>
    <w:rsid w:val="00834771"/>
    <w:rsid w:val="008973EE"/>
    <w:rsid w:val="008E71AB"/>
    <w:rsid w:val="00971600"/>
    <w:rsid w:val="009973B4"/>
    <w:rsid w:val="009C28C1"/>
    <w:rsid w:val="009F7EED"/>
    <w:rsid w:val="00A10A43"/>
    <w:rsid w:val="00A22A49"/>
    <w:rsid w:val="00A55742"/>
    <w:rsid w:val="00A80636"/>
    <w:rsid w:val="00A80EFB"/>
    <w:rsid w:val="00AF0AAB"/>
    <w:rsid w:val="00B21204"/>
    <w:rsid w:val="00B42CA3"/>
    <w:rsid w:val="00B93520"/>
    <w:rsid w:val="00BF597E"/>
    <w:rsid w:val="00C51A36"/>
    <w:rsid w:val="00C55228"/>
    <w:rsid w:val="00C63768"/>
    <w:rsid w:val="00C82624"/>
    <w:rsid w:val="00CE315A"/>
    <w:rsid w:val="00D06F59"/>
    <w:rsid w:val="00D64EFB"/>
    <w:rsid w:val="00D8388C"/>
    <w:rsid w:val="00E6224C"/>
    <w:rsid w:val="00EB0164"/>
    <w:rsid w:val="00EC4C9E"/>
    <w:rsid w:val="00ED0F62"/>
    <w:rsid w:val="00ED2C1D"/>
    <w:rsid w:val="00F22105"/>
    <w:rsid w:val="00F8015C"/>
    <w:rsid w:val="00FE60B0"/>
    <w:rsid w:val="01260C71"/>
    <w:rsid w:val="01E27364"/>
    <w:rsid w:val="01F8735D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5715AC"/>
    <w:rsid w:val="056577F0"/>
    <w:rsid w:val="05705C5F"/>
    <w:rsid w:val="0571467E"/>
    <w:rsid w:val="057753FF"/>
    <w:rsid w:val="05A05014"/>
    <w:rsid w:val="05C333A2"/>
    <w:rsid w:val="05F6270F"/>
    <w:rsid w:val="0605101B"/>
    <w:rsid w:val="061B4460"/>
    <w:rsid w:val="067B702D"/>
    <w:rsid w:val="06994A8D"/>
    <w:rsid w:val="06AA7E97"/>
    <w:rsid w:val="06C27317"/>
    <w:rsid w:val="06EC4BBF"/>
    <w:rsid w:val="06ED612A"/>
    <w:rsid w:val="077A0611"/>
    <w:rsid w:val="08767210"/>
    <w:rsid w:val="08851DD7"/>
    <w:rsid w:val="089D1CE9"/>
    <w:rsid w:val="08C22483"/>
    <w:rsid w:val="08ED1EE8"/>
    <w:rsid w:val="08F167F0"/>
    <w:rsid w:val="09005957"/>
    <w:rsid w:val="096333C5"/>
    <w:rsid w:val="0973611D"/>
    <w:rsid w:val="09933EF9"/>
    <w:rsid w:val="09AA0CA5"/>
    <w:rsid w:val="09B73CED"/>
    <w:rsid w:val="09FA6045"/>
    <w:rsid w:val="0A0F142E"/>
    <w:rsid w:val="0A1C56C1"/>
    <w:rsid w:val="0A904067"/>
    <w:rsid w:val="0ACA6ED2"/>
    <w:rsid w:val="0AEF4D8D"/>
    <w:rsid w:val="0B515EEB"/>
    <w:rsid w:val="0BBC6DF9"/>
    <w:rsid w:val="0BE64DFF"/>
    <w:rsid w:val="0C4B4D60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A86D9F"/>
    <w:rsid w:val="0FC433E3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1C7253"/>
    <w:rsid w:val="114520E3"/>
    <w:rsid w:val="11536201"/>
    <w:rsid w:val="115D3DB9"/>
    <w:rsid w:val="11BD2BE2"/>
    <w:rsid w:val="11BE2038"/>
    <w:rsid w:val="11DC0AC4"/>
    <w:rsid w:val="11E2439D"/>
    <w:rsid w:val="120225CC"/>
    <w:rsid w:val="123868DF"/>
    <w:rsid w:val="12563B2D"/>
    <w:rsid w:val="12A2571D"/>
    <w:rsid w:val="12A42EA7"/>
    <w:rsid w:val="12A506D3"/>
    <w:rsid w:val="12AF5238"/>
    <w:rsid w:val="12DF025B"/>
    <w:rsid w:val="13296CDD"/>
    <w:rsid w:val="134E7573"/>
    <w:rsid w:val="13890C2B"/>
    <w:rsid w:val="13A420AC"/>
    <w:rsid w:val="13C11723"/>
    <w:rsid w:val="13C13915"/>
    <w:rsid w:val="13EB79B2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2B4B2F"/>
    <w:rsid w:val="16583F2B"/>
    <w:rsid w:val="169D3E09"/>
    <w:rsid w:val="16AB3CAD"/>
    <w:rsid w:val="16C05885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6A6524"/>
    <w:rsid w:val="186F767B"/>
    <w:rsid w:val="187F0353"/>
    <w:rsid w:val="188852B3"/>
    <w:rsid w:val="188B6DDD"/>
    <w:rsid w:val="18E725C6"/>
    <w:rsid w:val="18FB3FC3"/>
    <w:rsid w:val="190766A3"/>
    <w:rsid w:val="19360F64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2F538D"/>
    <w:rsid w:val="1A546A4C"/>
    <w:rsid w:val="1A6C3FF9"/>
    <w:rsid w:val="1AAF33A8"/>
    <w:rsid w:val="1AB42370"/>
    <w:rsid w:val="1ACF1254"/>
    <w:rsid w:val="1AED5B63"/>
    <w:rsid w:val="1AF42899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AF4E64"/>
    <w:rsid w:val="1EF77273"/>
    <w:rsid w:val="1F1B65D5"/>
    <w:rsid w:val="1F35289F"/>
    <w:rsid w:val="1F4E73A5"/>
    <w:rsid w:val="1F8E0A45"/>
    <w:rsid w:val="1FAB395F"/>
    <w:rsid w:val="1FB8538A"/>
    <w:rsid w:val="1FD22EF6"/>
    <w:rsid w:val="1FF16224"/>
    <w:rsid w:val="201572E0"/>
    <w:rsid w:val="20272451"/>
    <w:rsid w:val="203255D2"/>
    <w:rsid w:val="20403C64"/>
    <w:rsid w:val="205905F2"/>
    <w:rsid w:val="205B3801"/>
    <w:rsid w:val="207644C2"/>
    <w:rsid w:val="208D0BCB"/>
    <w:rsid w:val="20A856C1"/>
    <w:rsid w:val="20FC536F"/>
    <w:rsid w:val="21A07B88"/>
    <w:rsid w:val="21D24208"/>
    <w:rsid w:val="226B2F60"/>
    <w:rsid w:val="22813299"/>
    <w:rsid w:val="229D603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BA397F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A5442"/>
    <w:rsid w:val="29F77BA5"/>
    <w:rsid w:val="2A3A6E77"/>
    <w:rsid w:val="2A85024C"/>
    <w:rsid w:val="2B0D2F04"/>
    <w:rsid w:val="2B1D2572"/>
    <w:rsid w:val="2B206A2D"/>
    <w:rsid w:val="2B404411"/>
    <w:rsid w:val="2B4C1179"/>
    <w:rsid w:val="2B4C11C4"/>
    <w:rsid w:val="2BD60481"/>
    <w:rsid w:val="2BE64387"/>
    <w:rsid w:val="2BEA3FA7"/>
    <w:rsid w:val="2BFD6446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1F313B3"/>
    <w:rsid w:val="320B180B"/>
    <w:rsid w:val="323872D4"/>
    <w:rsid w:val="324E5138"/>
    <w:rsid w:val="331E21CE"/>
    <w:rsid w:val="33562A0D"/>
    <w:rsid w:val="33715F28"/>
    <w:rsid w:val="33F07155"/>
    <w:rsid w:val="340C6245"/>
    <w:rsid w:val="343C4522"/>
    <w:rsid w:val="347A0336"/>
    <w:rsid w:val="34AC6049"/>
    <w:rsid w:val="34F92D63"/>
    <w:rsid w:val="350809D2"/>
    <w:rsid w:val="35527F1F"/>
    <w:rsid w:val="357914C0"/>
    <w:rsid w:val="35AE6BA5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1E700B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AFD61EB"/>
    <w:rsid w:val="3B227AA7"/>
    <w:rsid w:val="3B4241C0"/>
    <w:rsid w:val="3B5F0280"/>
    <w:rsid w:val="3BEE1D6F"/>
    <w:rsid w:val="3BF1473C"/>
    <w:rsid w:val="3C9D1E49"/>
    <w:rsid w:val="3CA475E5"/>
    <w:rsid w:val="3CA717F2"/>
    <w:rsid w:val="3CC56579"/>
    <w:rsid w:val="3CD175CA"/>
    <w:rsid w:val="3D0E6267"/>
    <w:rsid w:val="3DAB460B"/>
    <w:rsid w:val="3DDA7DB2"/>
    <w:rsid w:val="3E342793"/>
    <w:rsid w:val="3E3C5235"/>
    <w:rsid w:val="3EA34B57"/>
    <w:rsid w:val="3EEF1E6E"/>
    <w:rsid w:val="3F0269A8"/>
    <w:rsid w:val="3F654598"/>
    <w:rsid w:val="3F8C1A5E"/>
    <w:rsid w:val="40571F31"/>
    <w:rsid w:val="40760623"/>
    <w:rsid w:val="408B7234"/>
    <w:rsid w:val="40A82F90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29C22A5"/>
    <w:rsid w:val="432A5E11"/>
    <w:rsid w:val="433B1167"/>
    <w:rsid w:val="435F500F"/>
    <w:rsid w:val="43C730CD"/>
    <w:rsid w:val="44043CC6"/>
    <w:rsid w:val="44A567F5"/>
    <w:rsid w:val="45173A63"/>
    <w:rsid w:val="45372E44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CE07C2"/>
    <w:rsid w:val="46EA7997"/>
    <w:rsid w:val="470243E7"/>
    <w:rsid w:val="471F1498"/>
    <w:rsid w:val="47271944"/>
    <w:rsid w:val="475C4BFE"/>
    <w:rsid w:val="47BB044C"/>
    <w:rsid w:val="48262DE5"/>
    <w:rsid w:val="48902321"/>
    <w:rsid w:val="48CA74F7"/>
    <w:rsid w:val="49C0281D"/>
    <w:rsid w:val="49E449BF"/>
    <w:rsid w:val="49EC77B8"/>
    <w:rsid w:val="49ED5B1C"/>
    <w:rsid w:val="4AA56755"/>
    <w:rsid w:val="4AB22572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D4601B"/>
    <w:rsid w:val="4C2C100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52F1B"/>
    <w:rsid w:val="4F594843"/>
    <w:rsid w:val="4F7F49F1"/>
    <w:rsid w:val="503C3BCC"/>
    <w:rsid w:val="504A1F62"/>
    <w:rsid w:val="505C4971"/>
    <w:rsid w:val="50795634"/>
    <w:rsid w:val="508C4A05"/>
    <w:rsid w:val="50B91BA6"/>
    <w:rsid w:val="50C41CF1"/>
    <w:rsid w:val="51217DA6"/>
    <w:rsid w:val="51294703"/>
    <w:rsid w:val="513B7A32"/>
    <w:rsid w:val="51425A27"/>
    <w:rsid w:val="5158757E"/>
    <w:rsid w:val="51795AD5"/>
    <w:rsid w:val="51DD0128"/>
    <w:rsid w:val="521A5D1E"/>
    <w:rsid w:val="523624DE"/>
    <w:rsid w:val="52A23F56"/>
    <w:rsid w:val="52BA5471"/>
    <w:rsid w:val="52CF56D4"/>
    <w:rsid w:val="52D871F4"/>
    <w:rsid w:val="52F263D6"/>
    <w:rsid w:val="53024EB7"/>
    <w:rsid w:val="53261795"/>
    <w:rsid w:val="53953BE7"/>
    <w:rsid w:val="53F51637"/>
    <w:rsid w:val="54124FEF"/>
    <w:rsid w:val="541C4B67"/>
    <w:rsid w:val="543F11CA"/>
    <w:rsid w:val="54C53740"/>
    <w:rsid w:val="552A2893"/>
    <w:rsid w:val="556B045B"/>
    <w:rsid w:val="557D4E77"/>
    <w:rsid w:val="558570B1"/>
    <w:rsid w:val="558D4F56"/>
    <w:rsid w:val="55C375DD"/>
    <w:rsid w:val="56156439"/>
    <w:rsid w:val="56524F2E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93D5C"/>
    <w:rsid w:val="580F191D"/>
    <w:rsid w:val="58276F84"/>
    <w:rsid w:val="582E1FB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6A68C0"/>
    <w:rsid w:val="5BB91365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0E2E76"/>
    <w:rsid w:val="5E264AF8"/>
    <w:rsid w:val="5E3B413F"/>
    <w:rsid w:val="5E756870"/>
    <w:rsid w:val="5E971B73"/>
    <w:rsid w:val="5EA12B9A"/>
    <w:rsid w:val="5EB61B43"/>
    <w:rsid w:val="5EBA7075"/>
    <w:rsid w:val="5EBF5DC8"/>
    <w:rsid w:val="5EDD2156"/>
    <w:rsid w:val="5F02275D"/>
    <w:rsid w:val="5F14059B"/>
    <w:rsid w:val="5F291E1B"/>
    <w:rsid w:val="5F2E30BD"/>
    <w:rsid w:val="5F551AC0"/>
    <w:rsid w:val="5F616E2A"/>
    <w:rsid w:val="5FE015B4"/>
    <w:rsid w:val="6018182B"/>
    <w:rsid w:val="601E0F43"/>
    <w:rsid w:val="60596F8D"/>
    <w:rsid w:val="6070742B"/>
    <w:rsid w:val="608075E1"/>
    <w:rsid w:val="608A2A31"/>
    <w:rsid w:val="60DD5FF3"/>
    <w:rsid w:val="60FC5507"/>
    <w:rsid w:val="61326FB1"/>
    <w:rsid w:val="61384C31"/>
    <w:rsid w:val="613865C3"/>
    <w:rsid w:val="61E77A7E"/>
    <w:rsid w:val="622A4138"/>
    <w:rsid w:val="62385483"/>
    <w:rsid w:val="62385A6C"/>
    <w:rsid w:val="625C0C90"/>
    <w:rsid w:val="62876D77"/>
    <w:rsid w:val="62CA4AF4"/>
    <w:rsid w:val="62E4371E"/>
    <w:rsid w:val="632045D1"/>
    <w:rsid w:val="6342544F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093B9C"/>
    <w:rsid w:val="6564021D"/>
    <w:rsid w:val="65662197"/>
    <w:rsid w:val="658C79F9"/>
    <w:rsid w:val="65A33DF6"/>
    <w:rsid w:val="65BE04E1"/>
    <w:rsid w:val="65F429F0"/>
    <w:rsid w:val="66462C24"/>
    <w:rsid w:val="665A6FDB"/>
    <w:rsid w:val="66B368AE"/>
    <w:rsid w:val="66B532F3"/>
    <w:rsid w:val="66C2760F"/>
    <w:rsid w:val="675A3B6C"/>
    <w:rsid w:val="67906832"/>
    <w:rsid w:val="67AF7DB6"/>
    <w:rsid w:val="680564C6"/>
    <w:rsid w:val="681B3F7A"/>
    <w:rsid w:val="68233428"/>
    <w:rsid w:val="68B54AF7"/>
    <w:rsid w:val="68CA009F"/>
    <w:rsid w:val="695B5920"/>
    <w:rsid w:val="69A519A5"/>
    <w:rsid w:val="69B35A0D"/>
    <w:rsid w:val="69CC607C"/>
    <w:rsid w:val="69EA1163"/>
    <w:rsid w:val="69F96768"/>
    <w:rsid w:val="6A000D1D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DD772F3"/>
    <w:rsid w:val="6E0C3BBF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47567A"/>
    <w:rsid w:val="70795456"/>
    <w:rsid w:val="709946EC"/>
    <w:rsid w:val="72385532"/>
    <w:rsid w:val="72702455"/>
    <w:rsid w:val="72884C69"/>
    <w:rsid w:val="728F2E47"/>
    <w:rsid w:val="72973011"/>
    <w:rsid w:val="72E42D1B"/>
    <w:rsid w:val="73343015"/>
    <w:rsid w:val="734F0911"/>
    <w:rsid w:val="736054C4"/>
    <w:rsid w:val="736C572D"/>
    <w:rsid w:val="73A422EB"/>
    <w:rsid w:val="74103E55"/>
    <w:rsid w:val="745B622A"/>
    <w:rsid w:val="74AA3A17"/>
    <w:rsid w:val="753E2D2E"/>
    <w:rsid w:val="756A1F87"/>
    <w:rsid w:val="75975CD6"/>
    <w:rsid w:val="75B50E95"/>
    <w:rsid w:val="75B63EDF"/>
    <w:rsid w:val="75C41720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9DC62E5"/>
    <w:rsid w:val="7A200C95"/>
    <w:rsid w:val="7A594332"/>
    <w:rsid w:val="7A8564DB"/>
    <w:rsid w:val="7AC22B97"/>
    <w:rsid w:val="7B1F77A4"/>
    <w:rsid w:val="7B292799"/>
    <w:rsid w:val="7B6255B6"/>
    <w:rsid w:val="7BA24F70"/>
    <w:rsid w:val="7C090682"/>
    <w:rsid w:val="7C6A6CA8"/>
    <w:rsid w:val="7CC94CD2"/>
    <w:rsid w:val="7CF04E00"/>
    <w:rsid w:val="7D41026F"/>
    <w:rsid w:val="7D59343F"/>
    <w:rsid w:val="7E0A78B3"/>
    <w:rsid w:val="7E2665B9"/>
    <w:rsid w:val="7E2912F3"/>
    <w:rsid w:val="7EAA2710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13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4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styleId="1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NormalCharacter"/>
    <w:semiHidden/>
    <w:qFormat/>
    <w:uiPriority w:val="0"/>
  </w:style>
  <w:style w:type="paragraph" w:customStyle="1" w:styleId="21">
    <w:name w:val="yz正文"/>
    <w:qFormat/>
    <w:uiPriority w:val="0"/>
    <w:pPr>
      <w:widowControl w:val="0"/>
      <w:ind w:firstLine="420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2024</Words>
  <Characters>11543</Characters>
  <Lines>96</Lines>
  <Paragraphs>27</Paragraphs>
  <TotalTime>3</TotalTime>
  <ScaleCrop>false</ScaleCrop>
  <LinksUpToDate>false</LinksUpToDate>
  <CharactersWithSpaces>13540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2020-11-08T15:18:00Z</dcterms:created>
  <dc:creator>微软用户</dc:creator>
  <cp:lastModifiedBy>肖新龙</cp:lastModifiedBy>
  <dcterms:modified xsi:type="dcterms:W3CDTF">2022-09-02T07:50:15Z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C682E2C80E614F878FC78DD48DB84185</vt:lpwstr>
  </property>
</Properties>
</file>