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98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受审核部门：市场部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主管领导：吕小芳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陪同人员：卢明珠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2022年08月14日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QMS:5.3组织的岗位、职责和权限、6.2质量目标、8.2产品和服务的要求、8.5.3顾客或外部供方的财产、9.1.2顾客满意、8.5.5交付后的活动；8.4外部提供过程、产品和服务的控制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E/O:5.3组织的岗位、职责和权限、6.2目标、6.1.2环境因素/危险源识别与评价、6.1.4措施的策划、8.1运行策划和控制、8.2应急准备和响应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目前市场部有1人，</w:t>
            </w:r>
            <w:r>
              <w:rPr>
                <w:rFonts w:hint="eastAsia"/>
                <w:szCs w:val="21"/>
              </w:rPr>
              <w:t>吕小芳</w:t>
            </w:r>
            <w:r>
              <w:rPr>
                <w:rFonts w:hint="eastAsia" w:hAnsi="宋体"/>
                <w:szCs w:val="21"/>
              </w:rPr>
              <w:t>是市场部负责人，市场部主要工作：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负责与顾客有关的过程控制；</w:t>
            </w:r>
            <w:bookmarkStart w:id="2" w:name="_Hlk509688918"/>
            <w:r>
              <w:rPr>
                <w:rFonts w:hint="eastAsia" w:hAnsi="宋体"/>
                <w:szCs w:val="21"/>
              </w:rPr>
              <w:t>本部门环境因素危险源的识别评价控制。</w:t>
            </w:r>
            <w:bookmarkEnd w:id="2"/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负责顾客满意控制，负责销售服务的控制；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</w:t>
            </w:r>
            <w:r>
              <w:rPr>
                <w:rFonts w:hAnsi="宋体"/>
                <w:szCs w:val="21"/>
              </w:rPr>
              <w:t>负责顾客财产控制；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4、</w:t>
            </w:r>
            <w:r>
              <w:rPr>
                <w:rFonts w:hAnsi="宋体"/>
                <w:szCs w:val="21"/>
              </w:rPr>
              <w:t>负责与</w:t>
            </w:r>
            <w:r>
              <w:rPr>
                <w:rFonts w:hint="eastAsia" w:hAnsi="宋体"/>
                <w:szCs w:val="21"/>
              </w:rPr>
              <w:t>供方</w:t>
            </w:r>
            <w:r>
              <w:rPr>
                <w:rFonts w:hAnsi="宋体"/>
                <w:szCs w:val="21"/>
              </w:rPr>
              <w:t>有关的过程控制；</w:t>
            </w:r>
            <w:r>
              <w:rPr>
                <w:rFonts w:hint="eastAsia" w:hAnsi="宋体"/>
                <w:szCs w:val="21"/>
              </w:rPr>
              <w:t>本部门环境因素危险源的识别评价控制。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5、</w:t>
            </w:r>
            <w:r>
              <w:rPr>
                <w:rFonts w:hAnsi="宋体"/>
                <w:szCs w:val="21"/>
              </w:rPr>
              <w:t>负责采购控制，负责化学品采购、运输、存储、领用管理，预防紧急、潜在事故发生；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6、</w:t>
            </w:r>
            <w:r>
              <w:rPr>
                <w:rFonts w:hAnsi="宋体"/>
                <w:szCs w:val="21"/>
              </w:rPr>
              <w:t>负责宣传影响主要供应商相关方的环境行为。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查见质量\环境\职业健康安全目标分解考核表”，查见市场部的目标如下：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合同履约率100%；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顾客满意度95分以上；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火灾事故为0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供方评定合格率100%</w:t>
            </w:r>
            <w:r>
              <w:rPr>
                <w:rFonts w:hAnsi="宋体"/>
                <w:szCs w:val="21"/>
              </w:rPr>
              <w:t xml:space="preserve"> 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采购产品交货及时率≥90%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策划了“2022年目标管理方案”，保留“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”，查见市场部2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采取打分法评价，噪声排放、危废、固废、潜在火灾、废气是重要环境因素。其中办公区的重要环境因素是潜在火灾、固废排放。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对识别出的危险源采取D=LEC进行评价，评价出不可接受风险有包括：潜在触电、火灾事故、机械伤害、职业病（噪音、粉尘）是不可接受风险。办公区的不可接受风险是潜在触电、火灾事故。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989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工作场所布局合理，座椅和办公桌符合人体工程学要求，工间能适当走动、休息；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各工作人员坐姿正确，避免过度疲劳；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办公场所物品摆放整齐、有序，未见随意乱放私人物品的情况；</w:t>
            </w:r>
          </w:p>
          <w:p>
            <w:pPr>
              <w:snapToGrid w:val="0"/>
              <w:spacing w:line="360" w:lineRule="auto"/>
              <w:ind w:left="420" w:leftChars="200"/>
            </w:pPr>
            <w:r>
              <w:rPr>
                <w:rFonts w:hAnsi="宋体"/>
                <w:szCs w:val="21"/>
              </w:rPr>
              <w:t>查见配置有灭火器，状态良好；消防通道、应急指示良好；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节约用水用电、纸张双面使用；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生活废水经市政管网排放；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办公环境安静，无明显噪声和废气；</w:t>
            </w:r>
            <w:r>
              <w:rPr>
                <w:rFonts w:hAnsi="宋体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办公垃圾由环卫部门收集处理；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办公用墨盒硒鼓等危废以旧换新；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对部门员工进行了不定期的交通安全宣传；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inherit" w:hAnsi="inherit" w:cs="宋体"/>
                <w:color w:val="000000"/>
                <w:kern w:val="0"/>
                <w:szCs w:val="21"/>
              </w:rPr>
              <w:t>企业编制并提供了环保/职业健康安全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相关方告知书，有效文件，对供方进行了环境和职业健康安全有关事项</w:t>
            </w:r>
            <w:r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的沟通。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编制了应急准备和响应控制程序，建立了火灾、机械伤害等事故应急处置方案，市场部参与了公司的火灾演练，详见行政部审核记录；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产品和服务的要求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交付后的活动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8.5.5</w:t>
            </w:r>
          </w:p>
        </w:tc>
        <w:tc>
          <w:tcPr>
            <w:tcW w:w="9897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查见管理手册，明确了产品和服务的要求，包括：顾客沟通、与产品和服务有关要求的确定、与产品和服务有关要求的评审、与产品和服务有关要求的更改等要求；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公司设有1个展厅，面积约600平米，展示了各种型号的样品。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另备有宣传册，对外介绍公司与产品；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公司产品目前主要是</w:t>
            </w:r>
            <w:r>
              <w:t>骨灰盒存放架的设计、生产及销售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介绍说，</w:t>
            </w:r>
            <w:r>
              <w:t>骨灰盒存放架</w:t>
            </w:r>
            <w:r>
              <w:rPr>
                <w:rFonts w:hint="eastAsia"/>
              </w:rPr>
              <w:t>的销售主要是通过招投标进行。</w:t>
            </w:r>
          </w:p>
          <w:p>
            <w:pPr>
              <w:pStyle w:val="2"/>
              <w:ind w:firstLine="420"/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抽查销售合同：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合同书：平乐县殡葬管理所——骨灰存放架；2022.7.23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新乐市长寿街道东长寿村村民委员会——颐寿园配套物品（双穴骨灰存放架）；2022.3.12</w:t>
            </w:r>
          </w:p>
          <w:p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古田县福寿纪念园有限公司——骨灰存放架；2021.10.20</w:t>
            </w:r>
          </w:p>
          <w:p>
            <w:pPr>
              <w:pStyle w:val="2"/>
              <w:ind w:left="360" w:firstLine="0" w:firstLineChars="0"/>
            </w:pPr>
          </w:p>
          <w:p>
            <w:pPr>
              <w:pStyle w:val="2"/>
              <w:ind w:left="360" w:firstLine="0" w:firstLineChars="0"/>
            </w:pPr>
            <w:r>
              <w:rPr>
                <w:rFonts w:hint="eastAsia"/>
              </w:rPr>
              <w:t>以上合同均明确了产品的名称、规格、数量和价格、交货、验收、售后服务等内容；</w:t>
            </w:r>
          </w:p>
          <w:p>
            <w:pPr>
              <w:pStyle w:val="2"/>
              <w:ind w:left="360" w:firstLine="0" w:firstLineChars="0"/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介绍说，公司根据合同或者订货单，</w:t>
            </w:r>
            <w:r>
              <w:t>按照承诺的送货范围、合同规定的送货时间，及时派送，将货物运到客户指定的地点，安装调试完成后，客户验收合格后签收</w:t>
            </w:r>
            <w:r>
              <w:rPr>
                <w:rFonts w:hint="eastAsia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/>
              </w:rPr>
              <w:t>查见河池市金城江区殡仪馆验收使用报告表，验收评定合格，验收日期：2022.6.19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产品交付后提供约定期限的保修，约定期限后提供有偿售后服务；</w:t>
            </w:r>
            <w:r>
              <w:rPr>
                <w:rFonts w:hint="eastAsia"/>
                <w:szCs w:val="22"/>
              </w:rPr>
              <w:t>介绍说本周期无顾客不良反馈。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2"/>
              </w:rPr>
              <w:t>交付后活动满足要求。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外部提供过程、产品和服务的控制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hAnsi="宋体"/>
                <w:szCs w:val="21"/>
              </w:rPr>
              <w:t>8.4</w:t>
            </w:r>
          </w:p>
        </w:tc>
        <w:tc>
          <w:tcPr>
            <w:tcW w:w="9897" w:type="dxa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编制并执行了采购控制程序</w:t>
            </w:r>
            <w:r>
              <w:rPr>
                <w:rFonts w:hint="eastAsia" w:eastAsiaTheme="minorEastAsia"/>
                <w:szCs w:val="21"/>
              </w:rPr>
              <w:t>；定义了供方选择、评价和重新评价准则；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查见合格供方名录，</w:t>
            </w:r>
            <w:r>
              <w:rPr>
                <w:rFonts w:hint="eastAsia" w:eastAsiaTheme="minorEastAsia"/>
                <w:szCs w:val="21"/>
              </w:rPr>
              <w:t>抽见供方如下</w:t>
            </w:r>
            <w:r>
              <w:rPr>
                <w:rFonts w:hint="eastAsia" w:eastAsiaTheme="minorEastAsia"/>
                <w:szCs w:val="21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江西锐克斯科技有限公司</w:t>
            </w:r>
            <w:r>
              <w:rPr>
                <w:rFonts w:hint="eastAsia" w:eastAsiaTheme="minorEastAsia"/>
                <w:szCs w:val="21"/>
              </w:rPr>
              <w:t>——塑粉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安徽迈明亚克力科技有限公司——亚克力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吉安市吉祥铝塑板有限公司——吕塑板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清远市汇坚铝业有限公司——铝型材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浙江协和首信钢业有限公司——镀锌卷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台州市劲拓金属有限公司——铝合金长往生牌位盒</w:t>
            </w:r>
            <w:bookmarkStart w:id="3" w:name="_GoBack"/>
            <w:bookmarkEnd w:id="3"/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宁波大拇指锁具有限公司——锁具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</w:t>
            </w:r>
            <w:r>
              <w:rPr>
                <w:rFonts w:hint="eastAsia" w:eastAsiaTheme="minorEastAsia"/>
                <w:szCs w:val="21"/>
              </w:rPr>
              <w:t>见供方调查评定记录</w:t>
            </w:r>
            <w:r>
              <w:rPr>
                <w:rFonts w:hint="eastAsia" w:eastAsiaTheme="minorEastAsia"/>
                <w:szCs w:val="21"/>
              </w:rPr>
              <w:t>；抽见上述供应商评价表，显示供方对产品/服务质量的承诺：安全生产、质量第一；对工商注册文件及相关资质证明、生产设备、生产场地及环境设施、有长期可靠的设备和原料供应、通信和交通运输条件、接受我方质量保证条件要求、重合同、守信誉，有一定知名度、其他等进行了评价；参加评审人员签名，评审结论：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hint="eastAsia" w:eastAsiaTheme="minor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hint="eastAsia" w:eastAsiaTheme="minorEastAsia"/>
                <w:szCs w:val="21"/>
              </w:rPr>
              <w:t>，抽见：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1、发货清单 ——</w:t>
            </w:r>
            <w:r>
              <w:rPr>
                <w:rFonts w:hint="eastAsia" w:ascii="宋体" w:hAnsi="宋体"/>
                <w:sz w:val="22"/>
                <w:szCs w:val="21"/>
              </w:rPr>
              <w:t>宁波大拇指锁具有限公司</w:t>
            </w:r>
            <w:r>
              <w:rPr>
                <w:rFonts w:hint="eastAsia" w:eastAsiaTheme="minorEastAsia"/>
                <w:szCs w:val="21"/>
              </w:rPr>
              <w:t>， 299AZM-26子母锁，2022.5.11；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2、送货单 ——</w:t>
            </w:r>
            <w:r>
              <w:rPr>
                <w:rFonts w:hint="eastAsia" w:ascii="宋体" w:hAnsi="宋体"/>
                <w:sz w:val="22"/>
                <w:szCs w:val="21"/>
              </w:rPr>
              <w:t>江西锐克斯科技有限公司，H10126黄平光，</w:t>
            </w:r>
            <w:r>
              <w:rPr>
                <w:rFonts w:hint="eastAsia" w:eastAsiaTheme="minorEastAsia"/>
                <w:szCs w:val="21"/>
              </w:rPr>
              <w:t>2022.6.22；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以上合同、送货单等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hint="eastAsia" w:eastAsiaTheme="minorEastAsia"/>
                <w:szCs w:val="21"/>
              </w:rPr>
              <w:t>质量、交货等信息；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介绍说，合同签订前会经过评审，确认无误后签订，签字盖章；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</w:pPr>
            <w:r>
              <w:rPr>
                <w:rFonts w:hint="eastAsia" w:eastAsiaTheme="minorEastAsia"/>
                <w:szCs w:val="21"/>
              </w:rPr>
              <w:t>送货单等通过电话微信下单，等采购物资送到后，验收无误后，签字确认；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hAnsi="宋体"/>
                <w:szCs w:val="21"/>
              </w:rPr>
              <w:t>8.5.3</w:t>
            </w:r>
          </w:p>
        </w:tc>
        <w:tc>
          <w:tcPr>
            <w:tcW w:w="9897" w:type="dxa"/>
          </w:tcPr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介绍说顾客财产主要是客户信息，在电脑里保存，设置有密码。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顾客满意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hAnsi="宋体"/>
                <w:szCs w:val="21"/>
              </w:rPr>
              <w:t>9.1.2</w:t>
            </w:r>
          </w:p>
        </w:tc>
        <w:tc>
          <w:tcPr>
            <w:tcW w:w="9897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查见“顾客满意度控制程序”，有效文件；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查见顾客满意度调查表，</w:t>
            </w:r>
            <w:r>
              <w:rPr>
                <w:rFonts w:hint="eastAsia"/>
                <w:szCs w:val="22"/>
              </w:rPr>
              <w:t>2022年6月20日—2022年6月23日开展</w:t>
            </w:r>
            <w:r>
              <w:rPr>
                <w:rFonts w:hint="eastAsia"/>
              </w:rPr>
              <w:t>了顾客满意度调查，发放调查表共4份，回收调查表共4份；对调查结果进行了统计分析；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查见顾客满意度调查分析，经计算顾客满意度为97分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322F6"/>
    <w:multiLevelType w:val="multilevel"/>
    <w:tmpl w:val="69C322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30D38"/>
    <w:rsid w:val="0003674F"/>
    <w:rsid w:val="00041782"/>
    <w:rsid w:val="00045CB1"/>
    <w:rsid w:val="0006206E"/>
    <w:rsid w:val="00074CB2"/>
    <w:rsid w:val="00077CE1"/>
    <w:rsid w:val="001077FD"/>
    <w:rsid w:val="00125850"/>
    <w:rsid w:val="00135268"/>
    <w:rsid w:val="00161E5D"/>
    <w:rsid w:val="0016338C"/>
    <w:rsid w:val="001760F3"/>
    <w:rsid w:val="001C35D6"/>
    <w:rsid w:val="001C4B7B"/>
    <w:rsid w:val="001C6461"/>
    <w:rsid w:val="002315B4"/>
    <w:rsid w:val="00251CC3"/>
    <w:rsid w:val="002713DD"/>
    <w:rsid w:val="00275519"/>
    <w:rsid w:val="002774C4"/>
    <w:rsid w:val="00295642"/>
    <w:rsid w:val="002B7F16"/>
    <w:rsid w:val="002D11B9"/>
    <w:rsid w:val="00322ED4"/>
    <w:rsid w:val="00334D3D"/>
    <w:rsid w:val="003B4916"/>
    <w:rsid w:val="003B5364"/>
    <w:rsid w:val="003C3C26"/>
    <w:rsid w:val="003E6B60"/>
    <w:rsid w:val="003F6A14"/>
    <w:rsid w:val="00416D8C"/>
    <w:rsid w:val="0044267D"/>
    <w:rsid w:val="00455366"/>
    <w:rsid w:val="00463477"/>
    <w:rsid w:val="00476949"/>
    <w:rsid w:val="00487AD9"/>
    <w:rsid w:val="004A4ED7"/>
    <w:rsid w:val="004C4F3D"/>
    <w:rsid w:val="004C6153"/>
    <w:rsid w:val="004E28B1"/>
    <w:rsid w:val="004F1B24"/>
    <w:rsid w:val="004F6F8D"/>
    <w:rsid w:val="00536C28"/>
    <w:rsid w:val="00551E8A"/>
    <w:rsid w:val="00553A13"/>
    <w:rsid w:val="00555E26"/>
    <w:rsid w:val="00565C05"/>
    <w:rsid w:val="005A672C"/>
    <w:rsid w:val="005A6AB9"/>
    <w:rsid w:val="005E1B7A"/>
    <w:rsid w:val="005F293A"/>
    <w:rsid w:val="0060716B"/>
    <w:rsid w:val="00625A29"/>
    <w:rsid w:val="006B2730"/>
    <w:rsid w:val="006E0E8E"/>
    <w:rsid w:val="006E7EBC"/>
    <w:rsid w:val="006F7C0E"/>
    <w:rsid w:val="00701665"/>
    <w:rsid w:val="007105BD"/>
    <w:rsid w:val="00721BBB"/>
    <w:rsid w:val="007361F1"/>
    <w:rsid w:val="007447F3"/>
    <w:rsid w:val="00763006"/>
    <w:rsid w:val="007830EC"/>
    <w:rsid w:val="00785F19"/>
    <w:rsid w:val="007912A3"/>
    <w:rsid w:val="007B089D"/>
    <w:rsid w:val="007B234A"/>
    <w:rsid w:val="007B4D1A"/>
    <w:rsid w:val="007B5F6C"/>
    <w:rsid w:val="007D1BBA"/>
    <w:rsid w:val="007D762D"/>
    <w:rsid w:val="007F3BDA"/>
    <w:rsid w:val="007F3F59"/>
    <w:rsid w:val="007F7017"/>
    <w:rsid w:val="007F7DC3"/>
    <w:rsid w:val="008135FE"/>
    <w:rsid w:val="00824E5F"/>
    <w:rsid w:val="00831F4E"/>
    <w:rsid w:val="008448FA"/>
    <w:rsid w:val="00847597"/>
    <w:rsid w:val="00855776"/>
    <w:rsid w:val="008C29C0"/>
    <w:rsid w:val="00902337"/>
    <w:rsid w:val="00923875"/>
    <w:rsid w:val="009727EA"/>
    <w:rsid w:val="009D499F"/>
    <w:rsid w:val="00A27DAF"/>
    <w:rsid w:val="00A53C01"/>
    <w:rsid w:val="00A675B1"/>
    <w:rsid w:val="00A70655"/>
    <w:rsid w:val="00AA2244"/>
    <w:rsid w:val="00AC0D6D"/>
    <w:rsid w:val="00AD606E"/>
    <w:rsid w:val="00AF1DE6"/>
    <w:rsid w:val="00B14595"/>
    <w:rsid w:val="00B4166D"/>
    <w:rsid w:val="00B51624"/>
    <w:rsid w:val="00B63FF1"/>
    <w:rsid w:val="00B73F19"/>
    <w:rsid w:val="00B86C6E"/>
    <w:rsid w:val="00B94E78"/>
    <w:rsid w:val="00BA3D0A"/>
    <w:rsid w:val="00BA6AFE"/>
    <w:rsid w:val="00BA78FE"/>
    <w:rsid w:val="00BE012B"/>
    <w:rsid w:val="00BE3649"/>
    <w:rsid w:val="00BE6344"/>
    <w:rsid w:val="00BF6C5E"/>
    <w:rsid w:val="00C00663"/>
    <w:rsid w:val="00C47CA2"/>
    <w:rsid w:val="00C546BD"/>
    <w:rsid w:val="00C61F99"/>
    <w:rsid w:val="00C7235C"/>
    <w:rsid w:val="00C72A38"/>
    <w:rsid w:val="00C92EA3"/>
    <w:rsid w:val="00C95036"/>
    <w:rsid w:val="00C96044"/>
    <w:rsid w:val="00CB2324"/>
    <w:rsid w:val="00CD042D"/>
    <w:rsid w:val="00D13DC4"/>
    <w:rsid w:val="00D2580C"/>
    <w:rsid w:val="00D6372F"/>
    <w:rsid w:val="00D8377E"/>
    <w:rsid w:val="00D85FDF"/>
    <w:rsid w:val="00DD01F8"/>
    <w:rsid w:val="00DD4C84"/>
    <w:rsid w:val="00DE6322"/>
    <w:rsid w:val="00DE6C21"/>
    <w:rsid w:val="00E06984"/>
    <w:rsid w:val="00E139BD"/>
    <w:rsid w:val="00E2283F"/>
    <w:rsid w:val="00E41D1B"/>
    <w:rsid w:val="00E65E0B"/>
    <w:rsid w:val="00E95566"/>
    <w:rsid w:val="00EB0F21"/>
    <w:rsid w:val="00EC3D6A"/>
    <w:rsid w:val="00EC6195"/>
    <w:rsid w:val="00ED5E88"/>
    <w:rsid w:val="00EE4A34"/>
    <w:rsid w:val="00EE5A52"/>
    <w:rsid w:val="00F02991"/>
    <w:rsid w:val="00F07C33"/>
    <w:rsid w:val="00F22751"/>
    <w:rsid w:val="00F42984"/>
    <w:rsid w:val="00F77B4D"/>
    <w:rsid w:val="00F93292"/>
    <w:rsid w:val="00FC5D7E"/>
    <w:rsid w:val="00FE17AB"/>
    <w:rsid w:val="00FE226A"/>
    <w:rsid w:val="00FE6968"/>
    <w:rsid w:val="00FF27C0"/>
    <w:rsid w:val="5635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Char"/>
    <w:basedOn w:val="7"/>
    <w:link w:val="2"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2489</Words>
  <Characters>2687</Characters>
  <Lines>20</Lines>
  <Paragraphs>5</Paragraphs>
  <TotalTime>6101957</TotalTime>
  <ScaleCrop>false</ScaleCrop>
  <LinksUpToDate>false</LinksUpToDate>
  <CharactersWithSpaces>2721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2022-08-14T02:13:20Z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