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/>
        </w:rPr>
      </w:pPr>
      <w:r>
        <w:drawing>
          <wp:inline distT="0" distB="0" distL="114300" distR="114300">
            <wp:extent cx="5845810" cy="71386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713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 w:val="24"/>
        </w:rPr>
        <w:br w:type="page"/>
      </w:r>
      <w:r>
        <w:drawing>
          <wp:inline distT="0" distB="0" distL="114300" distR="114300">
            <wp:extent cx="5702300" cy="77673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76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 w:ascii="Arial" w:hAnsi="Arial" w:eastAsia="隶书" w:cs="Arial"/>
          <w:b/>
          <w:color w:val="auto"/>
          <w:sz w:val="44"/>
          <w:szCs w:val="44"/>
        </w:rPr>
      </w:pPr>
    </w:p>
    <w:p>
      <w:pPr>
        <w:spacing w:after="156" w:afterLines="50"/>
        <w:jc w:val="center"/>
        <w:rPr>
          <w:rFonts w:hint="eastAsia" w:ascii="Arial" w:hAnsi="Arial" w:eastAsia="隶书" w:cs="Arial"/>
          <w:b/>
          <w:color w:val="auto"/>
          <w:sz w:val="44"/>
          <w:szCs w:val="44"/>
        </w:rPr>
      </w:pPr>
    </w:p>
    <w:p>
      <w:pPr>
        <w:spacing w:after="156" w:afterLines="50"/>
        <w:jc w:val="center"/>
        <w:rPr>
          <w:rFonts w:hint="eastAsia" w:ascii="Arial" w:hAnsi="Arial" w:eastAsia="隶书" w:cs="Arial"/>
          <w:b/>
          <w:color w:val="auto"/>
          <w:sz w:val="44"/>
          <w:szCs w:val="44"/>
        </w:rPr>
      </w:pPr>
    </w:p>
    <w:p>
      <w:pPr>
        <w:spacing w:after="156" w:afterLines="50"/>
        <w:jc w:val="center"/>
        <w:rPr>
          <w:rFonts w:hint="eastAsia" w:ascii="Arial" w:hAnsi="Arial" w:eastAsia="隶书" w:cs="Arial"/>
          <w:b/>
          <w:color w:val="auto"/>
          <w:sz w:val="44"/>
          <w:szCs w:val="44"/>
        </w:rPr>
      </w:pPr>
      <w:bookmarkStart w:id="1" w:name="_GoBack"/>
      <w:bookmarkEnd w:id="1"/>
      <w:r>
        <w:rPr>
          <w:rFonts w:hint="eastAsia" w:ascii="Arial" w:hAnsi="Arial" w:eastAsia="隶书" w:cs="Arial"/>
          <w:b/>
          <w:color w:val="auto"/>
          <w:sz w:val="44"/>
          <w:szCs w:val="44"/>
        </w:rPr>
        <w:t>特殊/关键过程确认报告</w:t>
      </w:r>
    </w:p>
    <w:p>
      <w:pPr>
        <w:rPr>
          <w:rFonts w:ascii="Arial" w:hAnsi="Arial" w:eastAsia="隶书" w:cs="Arial"/>
          <w:color w:val="auto"/>
        </w:rPr>
      </w:pPr>
      <w:r>
        <w:rPr>
          <w:rFonts w:ascii="Arial" w:hAnsi="Arial" w:cs="Arial"/>
          <w:color w:val="auto"/>
        </w:rPr>
        <w:t>编号：</w:t>
      </w:r>
      <w:bookmarkStart w:id="0" w:name="OLE_LINK1"/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>JL-</w:t>
      </w:r>
      <w:r>
        <w:rPr>
          <w:rFonts w:hint="eastAsia" w:ascii="宋体" w:hAnsi="宋体"/>
          <w:color w:val="auto"/>
          <w:sz w:val="24"/>
          <w:lang w:val="en-US"/>
        </w:rPr>
        <w:t>8</w:t>
      </w:r>
      <w:r>
        <w:rPr>
          <w:rFonts w:hint="eastAsia" w:ascii="宋体" w:hAnsi="宋体"/>
          <w:color w:val="auto"/>
          <w:sz w:val="24"/>
        </w:rPr>
        <w:t>.5-0</w:t>
      </w:r>
      <w:r>
        <w:rPr>
          <w:rFonts w:hint="eastAsia" w:ascii="宋体" w:hAnsi="宋体"/>
          <w:color w:val="auto"/>
          <w:sz w:val="24"/>
          <w:lang w:val="en-US"/>
        </w:rPr>
        <w:t>3</w:t>
      </w:r>
    </w:p>
    <w:bookmarkEnd w:id="0"/>
    <w:tbl>
      <w:tblPr>
        <w:tblStyle w:val="7"/>
        <w:tblW w:w="101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420"/>
        <w:gridCol w:w="1929"/>
        <w:gridCol w:w="1491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特殊过程名称</w:t>
            </w:r>
          </w:p>
        </w:tc>
        <w:tc>
          <w:tcPr>
            <w:tcW w:w="86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配料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过程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确认类别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lang w:val="en-US"/>
              </w:rPr>
              <w:fldChar w:fldCharType="begin"/>
            </w:r>
            <w:r>
              <w:rPr>
                <w:rFonts w:ascii="Arial" w:hAnsi="Arial" w:cs="Arial"/>
                <w:color w:val="auto"/>
                <w:sz w:val="24"/>
                <w:lang w:val="en-US"/>
              </w:rPr>
              <w:instrText xml:space="preserve"> EQ \o\ac(</w:instrText>
            </w:r>
            <w:r>
              <w:rPr>
                <w:rFonts w:hint="eastAsia" w:ascii="Arial" w:hAnsi="Arial" w:cs="Arial"/>
                <w:color w:val="auto"/>
                <w:sz w:val="24"/>
                <w:lang w:val="en-US"/>
              </w:rPr>
              <w:instrText xml:space="preserve">□</w:instrText>
            </w:r>
            <w:r>
              <w:rPr>
                <w:rFonts w:ascii="Arial" w:hAnsi="Arial" w:cs="Arial"/>
                <w:color w:val="auto"/>
                <w:sz w:val="24"/>
                <w:lang w:val="en-US"/>
              </w:rPr>
              <w:instrText xml:space="preserve">,</w:instrText>
            </w:r>
            <w:r>
              <w:rPr>
                <w:rFonts w:ascii="Arial" w:hAnsi="Arial" w:cs="Arial"/>
                <w:color w:val="auto"/>
                <w:position w:val="2"/>
                <w:sz w:val="16"/>
                <w:lang w:val="en-US"/>
              </w:rPr>
              <w:instrText xml:space="preserve">√</w:instrText>
            </w:r>
            <w:r>
              <w:rPr>
                <w:rFonts w:ascii="Arial" w:hAnsi="Arial" w:cs="Arial"/>
                <w:color w:val="auto"/>
                <w:sz w:val="24"/>
                <w:lang w:val="en-US"/>
              </w:rPr>
              <w:instrText xml:space="preserve">)</w:instrText>
            </w:r>
            <w:r>
              <w:rPr>
                <w:rFonts w:ascii="Arial" w:hAnsi="Arial" w:cs="Arial"/>
                <w:color w:val="auto"/>
                <w:sz w:val="24"/>
                <w:lang w:val="en-US"/>
              </w:rPr>
              <w:fldChar w:fldCharType="end"/>
            </w:r>
            <w:r>
              <w:rPr>
                <w:rFonts w:hint="eastAsia" w:ascii="Arial" w:hAnsi="Arial" w:cs="Arial"/>
                <w:color w:val="auto"/>
              </w:rPr>
              <w:t xml:space="preserve">  首次确认       </w:t>
            </w:r>
            <w:r>
              <w:rPr>
                <w:rFonts w:hint="eastAsia" w:ascii="Arial" w:hAnsi="Arial" w:cs="Arial"/>
                <w:color w:val="auto"/>
                <w:sz w:val="24"/>
              </w:rPr>
              <w:t>□</w:t>
            </w:r>
            <w:r>
              <w:rPr>
                <w:rFonts w:hint="eastAsia" w:ascii="Arial" w:hAnsi="Arial" w:cs="Arial"/>
                <w:color w:val="auto"/>
              </w:rPr>
              <w:t xml:space="preserve"> 再确认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再确认原因</w:t>
            </w:r>
          </w:p>
        </w:tc>
        <w:tc>
          <w:tcPr>
            <w:tcW w:w="33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确认项目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确认依据、内容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结论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单项确认人员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单项确认时间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人员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操作人员均进行培训，胜任该岗位。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人员均培训合格后上岗，能胜任该岗位，熟练操作。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郝杨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2022-8-8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设备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设备安全良好，无故障，定期实施维护保养，参数设定达到要求并保持记录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设备日常维护保养，确保了运行达到正常运行的要求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韩志勇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2022-8-8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材料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原料均有报告、验收合格，并从合格供方采购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主要原材均从合格供方采购，经检验合格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李秋林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2022-8-8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工艺方法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结合实际操作制定作业指导书，确定工艺参数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符合要求</w:t>
            </w:r>
          </w:p>
          <w:p>
            <w:pPr>
              <w:jc w:val="center"/>
              <w:rPr>
                <w:rFonts w:hint="eastAsia" w:ascii="Arial" w:hAnsi="Arial" w:cs="Arial"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制订并执行“工艺操作规程”要求</w:t>
            </w:r>
          </w:p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工艺控制在要求范围内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韩志勇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2022-8-8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工作环境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没有影响产品质量的环境因素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工作环境良好，安全，符合要求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李秋林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t>2022-8-8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1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确认结论：</w:t>
            </w:r>
          </w:p>
          <w:p>
            <w:pPr>
              <w:jc w:val="left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val="en-US" w:eastAsia="zh-CN"/>
              </w:rPr>
              <w:fldChar w:fldCharType="begin"/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instrText xml:space="preserve"> EQ \o\ac(□,√)</w:instrTex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fldChar w:fldCharType="end"/>
            </w:r>
            <w:r>
              <w:rPr>
                <w:rFonts w:hint="eastAsia" w:ascii="Arial" w:hAnsi="Arial" w:cs="Arial"/>
                <w:color w:val="auto"/>
                <w:lang w:eastAsia="zh-CN"/>
              </w:rPr>
              <w:t xml:space="preserve"> 特殊过程确认合格，能够投入运作；</w:t>
            </w:r>
          </w:p>
          <w:p>
            <w:pPr>
              <w:jc w:val="left"/>
              <w:rPr>
                <w:rFonts w:hint="eastAsia" w:ascii="Arial" w:hAnsi="Arial" w:cs="Arial"/>
                <w:color w:val="auto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□ 其他：</w:t>
            </w:r>
          </w:p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Arial" w:hAnsi="Arial" w:cs="Arial"/>
                <w:color w:val="auto"/>
                <w:lang w:eastAsia="zh-CN"/>
              </w:rPr>
            </w:pPr>
          </w:p>
          <w:p>
            <w:pPr>
              <w:jc w:val="center"/>
              <w:rPr>
                <w:rFonts w:hint="default" w:ascii="Arial" w:hAnsi="Arial" w:cs="Arial"/>
                <w:color w:val="auto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确认人/日期：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张建峰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 xml:space="preserve"> 2022-8-8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0198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hint="eastAsia" w:ascii="Arial" w:hAnsi="Arial" w:cs="Arial"/>
                <w:color w:val="auto"/>
              </w:rPr>
            </w:pPr>
            <w:r>
              <w:rPr>
                <w:rFonts w:hint="eastAsia" w:ascii="Arial" w:hAnsi="Arial" w:cs="Arial"/>
                <w:color w:val="auto"/>
              </w:rPr>
              <w:t>备注：</w:t>
            </w:r>
          </w:p>
        </w:tc>
      </w:tr>
    </w:tbl>
    <w:p>
      <w:pPr>
        <w:rPr>
          <w:color w:val="auto"/>
          <w:sz w:val="18"/>
        </w:rPr>
      </w:pPr>
    </w:p>
    <w:p>
      <w:pPr>
        <w:rPr>
          <w:color w:val="auto"/>
          <w:sz w:val="18"/>
        </w:rPr>
      </w:pPr>
    </w:p>
    <w:p>
      <w:pPr>
        <w:rPr>
          <w:color w:val="auto"/>
          <w:sz w:val="18"/>
        </w:rPr>
      </w:pPr>
    </w:p>
    <w:p>
      <w:pPr>
        <w:jc w:val="center"/>
        <w:rPr>
          <w:rFonts w:hint="eastAsia" w:ascii="黑体" w:eastAsia="黑体"/>
          <w:b w:val="0"/>
          <w:bCs w:val="0"/>
          <w:sz w:val="36"/>
          <w:szCs w:val="36"/>
        </w:rPr>
      </w:pPr>
      <w:r>
        <w:rPr>
          <w:rFonts w:hint="eastAsia" w:ascii="黑体" w:eastAsia="黑体"/>
          <w:b w:val="0"/>
          <w:bCs w:val="0"/>
          <w:sz w:val="36"/>
          <w:szCs w:val="36"/>
        </w:rPr>
        <w:t>培训记录及有效性评价</w:t>
      </w:r>
    </w:p>
    <w:p>
      <w:pPr>
        <w:jc w:val="center"/>
        <w:rPr>
          <w:rFonts w:hint="eastAsia"/>
          <w:b w:val="0"/>
          <w:bCs w:val="0"/>
          <w:szCs w:val="21"/>
        </w:rPr>
      </w:pPr>
    </w:p>
    <w:p>
      <w:pPr>
        <w:ind w:firstLine="600" w:firstLineChars="250"/>
        <w:rPr>
          <w:b w:val="0"/>
          <w:bCs w:val="0"/>
          <w:sz w:val="32"/>
        </w:rPr>
      </w:pPr>
      <w:r>
        <w:rPr>
          <w:rFonts w:hint="eastAsia"/>
          <w:b w:val="0"/>
          <w:bCs w:val="0"/>
          <w:sz w:val="24"/>
        </w:rPr>
        <w:t>编号：</w:t>
      </w:r>
      <w:r>
        <w:rPr>
          <w:rFonts w:hint="eastAsia"/>
          <w:b w:val="0"/>
          <w:bCs w:val="0"/>
          <w:sz w:val="24"/>
          <w:lang w:eastAsia="zh-CN"/>
        </w:rPr>
        <w:t>JL</w:t>
      </w:r>
      <w:r>
        <w:rPr>
          <w:rFonts w:hint="eastAsia"/>
          <w:b w:val="0"/>
          <w:bCs w:val="0"/>
          <w:sz w:val="24"/>
        </w:rPr>
        <w:t>-7.2-02                                     序号：01</w:t>
      </w:r>
    </w:p>
    <w:tbl>
      <w:tblPr>
        <w:tblStyle w:val="7"/>
        <w:tblW w:w="96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84"/>
        <w:gridCol w:w="3804"/>
        <w:gridCol w:w="36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/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时间：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2022.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8.8</w:t>
            </w:r>
          </w:p>
        </w:tc>
        <w:tc>
          <w:tcPr>
            <w:tcW w:w="3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培训题目：GB/T19001-2016标准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8.5.1条款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培训人：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张建峰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地点：会议室</w:t>
            </w:r>
          </w:p>
        </w:tc>
        <w:tc>
          <w:tcPr>
            <w:tcW w:w="3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培训方式：讲授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6" w:hRule="atLeast"/>
          <w:jc w:val="center"/>
        </w:trPr>
        <w:tc>
          <w:tcPr>
            <w:tcW w:w="96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参加培训人员名单：</w:t>
            </w:r>
            <w:r>
              <w:rPr>
                <w:b w:val="0"/>
                <w:bCs w:val="0"/>
                <w:sz w:val="24"/>
              </w:rPr>
              <w:t xml:space="preserve"> </w:t>
            </w:r>
          </w:p>
          <w:p>
            <w:pPr>
              <w:ind w:firstLine="24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</w:t>
            </w:r>
          </w:p>
          <w:p>
            <w:pPr>
              <w:ind w:firstLine="24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郝江敏、张建峰、郝杨、郭志鑫、张桂琴、韩志勇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firstLine="24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4" w:hRule="atLeast"/>
          <w:jc w:val="center"/>
        </w:trPr>
        <w:tc>
          <w:tcPr>
            <w:tcW w:w="9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培训内容摘要：</w:t>
            </w:r>
          </w:p>
          <w:p>
            <w:pPr>
              <w:ind w:firstLine="240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firstLine="24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GB/T19001-2016标准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8.5.1条款</w:t>
            </w:r>
            <w:r>
              <w:rPr>
                <w:rFonts w:hint="eastAsia"/>
                <w:b w:val="0"/>
                <w:bCs w:val="0"/>
                <w:sz w:val="24"/>
              </w:rPr>
              <w:t>解读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配料作业指导书的相关内容</w:t>
            </w:r>
          </w:p>
          <w:p>
            <w:pPr>
              <w:ind w:firstLine="240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firstLine="24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6" w:hRule="atLeast"/>
          <w:jc w:val="center"/>
        </w:trPr>
        <w:tc>
          <w:tcPr>
            <w:tcW w:w="969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考核方式及有效性评价：</w:t>
            </w:r>
          </w:p>
          <w:p>
            <w:pPr>
              <w:ind w:firstLine="240"/>
              <w:rPr>
                <w:rFonts w:hint="eastAsia"/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本次培训采用了问答交流的考核方式，培训效果良好，通过对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管理层</w:t>
            </w:r>
            <w:r>
              <w:rPr>
                <w:rFonts w:hint="eastAsia"/>
                <w:b w:val="0"/>
                <w:bCs w:val="0"/>
                <w:sz w:val="24"/>
              </w:rPr>
              <w:t>及部门负责人进行了GB/T19001-2016标准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8.8.1条款</w:t>
            </w:r>
            <w:r>
              <w:rPr>
                <w:rFonts w:hint="eastAsia"/>
                <w:b w:val="0"/>
                <w:bCs w:val="0"/>
                <w:sz w:val="24"/>
              </w:rPr>
              <w:t>的培训之后，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管理层</w:t>
            </w:r>
            <w:r>
              <w:rPr>
                <w:rFonts w:hint="eastAsia"/>
                <w:b w:val="0"/>
                <w:bCs w:val="0"/>
                <w:sz w:val="24"/>
              </w:rPr>
              <w:t>及部门负责人对于标准中的内容有了深刻的了解，培训达到了预期的目的。</w:t>
            </w:r>
          </w:p>
          <w:p>
            <w:pPr>
              <w:ind w:firstLine="240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9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编制：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办公室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审核：郝杨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批准：张建峰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日期：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2022.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8.8</w:t>
            </w:r>
          </w:p>
        </w:tc>
      </w:tr>
    </w:tbl>
    <w:p>
      <w:pPr>
        <w:ind w:firstLine="3200" w:firstLineChars="1000"/>
        <w:rPr>
          <w:rFonts w:hint="eastAsia"/>
          <w:b w:val="0"/>
          <w:bCs w:val="0"/>
          <w:sz w:val="32"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503FB6"/>
    <w:rsid w:val="31B60734"/>
    <w:rsid w:val="4FF74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uiPriority w:val="99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unhideWhenUsed/>
    <w:uiPriority w:val="99"/>
    <w:pPr>
      <w:spacing w:line="440" w:lineRule="exact"/>
      <w:ind w:firstLine="420" w:firstLine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ScaleCrop>false</ScaleCrop>
  <LinksUpToDate>false</LinksUpToDate>
  <CharactersWithSpaces>895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zwt</cp:lastModifiedBy>
  <cp:lastPrinted>2019-05-13T03:02:00Z</cp:lastPrinted>
  <dcterms:modified xsi:type="dcterms:W3CDTF">2022-08-09T06:45:13Z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2052-10.1.0.6875</vt:lpwstr>
  </property>
</Properties>
</file>