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111"/>
        <w:gridCol w:w="11585"/>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60" w:type="dxa"/>
            <w:vMerge w:val="restart"/>
            <w:vAlign w:val="center"/>
          </w:tcPr>
          <w:p>
            <w:pPr>
              <w:spacing w:before="120"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1111" w:type="dxa"/>
            <w:vMerge w:val="restart"/>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1585" w:type="dxa"/>
            <w:vAlign w:val="center"/>
          </w:tcPr>
          <w:p>
            <w:pPr>
              <w:spacing w:line="360" w:lineRule="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受审核部门：</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管理层</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总经理：</w:t>
            </w:r>
            <w:r>
              <w:rPr>
                <w:rFonts w:hint="eastAsia" w:eastAsiaTheme="minorEastAsia"/>
                <w:lang w:eastAsia="zh-CN"/>
              </w:rPr>
              <w:t>吕珂玲</w:t>
            </w:r>
            <w:r>
              <w:rPr>
                <w:rFonts w:hint="eastAsia" w:asciiTheme="minorEastAsia" w:hAnsiTheme="minorEastAsia" w:eastAsiaTheme="minorEastAsia" w:cstheme="minorEastAsia"/>
                <w:szCs w:val="21"/>
              </w:rPr>
              <w:t xml:space="preserve">                    陪同人员：</w:t>
            </w:r>
            <w:r>
              <w:rPr>
                <w:rFonts w:hint="eastAsia" w:eastAsiaTheme="minorEastAsia"/>
                <w:lang w:eastAsia="zh-CN"/>
              </w:rPr>
              <w:t>杨杰</w:t>
            </w:r>
          </w:p>
        </w:tc>
        <w:tc>
          <w:tcPr>
            <w:tcW w:w="753" w:type="dxa"/>
            <w:vMerge w:val="restart"/>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60" w:type="dxa"/>
            <w:vMerge w:val="continue"/>
            <w:vAlign w:val="center"/>
          </w:tcPr>
          <w:p>
            <w:pPr>
              <w:spacing w:line="360" w:lineRule="auto"/>
              <w:rPr>
                <w:rFonts w:asciiTheme="minorEastAsia" w:hAnsiTheme="minorEastAsia" w:eastAsiaTheme="minorEastAsia" w:cstheme="minorEastAsia"/>
                <w:szCs w:val="21"/>
              </w:rPr>
            </w:pPr>
          </w:p>
        </w:tc>
        <w:tc>
          <w:tcPr>
            <w:tcW w:w="1111" w:type="dxa"/>
            <w:vMerge w:val="continue"/>
            <w:vAlign w:val="center"/>
          </w:tcPr>
          <w:p>
            <w:pPr>
              <w:spacing w:line="360" w:lineRule="auto"/>
              <w:rPr>
                <w:rFonts w:asciiTheme="minorEastAsia" w:hAnsiTheme="minorEastAsia" w:eastAsiaTheme="minorEastAsia" w:cstheme="minorEastAsia"/>
                <w:szCs w:val="21"/>
              </w:rPr>
            </w:pPr>
          </w:p>
        </w:tc>
        <w:tc>
          <w:tcPr>
            <w:tcW w:w="11585" w:type="dxa"/>
            <w:vAlign w:val="center"/>
          </w:tcPr>
          <w:p>
            <w:pPr>
              <w:spacing w:before="120"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审核员：</w:t>
            </w:r>
            <w:r>
              <w:rPr>
                <w:rFonts w:hint="eastAsia" w:asciiTheme="minorEastAsia" w:hAnsiTheme="minorEastAsia" w:eastAsiaTheme="minorEastAsia" w:cstheme="minorEastAsia"/>
                <w:szCs w:val="21"/>
                <w:lang w:val="en-US" w:eastAsia="zh-CN"/>
              </w:rPr>
              <w:t>郭力</w:t>
            </w:r>
            <w:r>
              <w:rPr>
                <w:rFonts w:hint="eastAsia" w:asciiTheme="minorEastAsia" w:hAnsiTheme="minorEastAsia" w:eastAsiaTheme="minorEastAsia" w:cstheme="minorEastAsia"/>
                <w:szCs w:val="21"/>
              </w:rPr>
              <w:t>；     审核时间：</w:t>
            </w:r>
            <w:r>
              <w:rPr>
                <w:rFonts w:hint="eastAsia" w:asciiTheme="minorEastAsia" w:hAnsiTheme="minorEastAsia" w:eastAsiaTheme="minorEastAsia" w:cstheme="minorEastAsia"/>
                <w:szCs w:val="21"/>
                <w:lang w:eastAsia="zh-CN"/>
              </w:rPr>
              <w:t>202</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日</w:t>
            </w:r>
          </w:p>
        </w:tc>
        <w:tc>
          <w:tcPr>
            <w:tcW w:w="753" w:type="dxa"/>
            <w:vMerge w:val="continue"/>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60" w:type="dxa"/>
            <w:vMerge w:val="continue"/>
            <w:vAlign w:val="center"/>
          </w:tcPr>
          <w:p>
            <w:pPr>
              <w:spacing w:line="360" w:lineRule="auto"/>
              <w:rPr>
                <w:rFonts w:asciiTheme="minorEastAsia" w:hAnsiTheme="minorEastAsia" w:eastAsiaTheme="minorEastAsia" w:cstheme="minorEastAsia"/>
                <w:szCs w:val="21"/>
              </w:rPr>
            </w:pPr>
          </w:p>
        </w:tc>
        <w:tc>
          <w:tcPr>
            <w:tcW w:w="1111" w:type="dxa"/>
            <w:vMerge w:val="continue"/>
            <w:vAlign w:val="center"/>
          </w:tcPr>
          <w:p>
            <w:pPr>
              <w:spacing w:line="360" w:lineRule="auto"/>
              <w:rPr>
                <w:rFonts w:asciiTheme="minorEastAsia" w:hAnsiTheme="minorEastAsia" w:eastAsiaTheme="minorEastAsia" w:cstheme="minorEastAsia"/>
                <w:szCs w:val="21"/>
              </w:rPr>
            </w:pPr>
          </w:p>
        </w:tc>
        <w:tc>
          <w:tcPr>
            <w:tcW w:w="11585" w:type="dxa"/>
            <w:vAlign w:val="center"/>
          </w:tcPr>
          <w:p>
            <w:pPr>
              <w:spacing w:line="360" w:lineRule="auto"/>
              <w:rPr>
                <w:rFonts w:ascii="宋体" w:hAnsi="宋体"/>
                <w:sz w:val="18"/>
              </w:rPr>
            </w:pPr>
            <w:r>
              <w:rPr>
                <w:rFonts w:hint="eastAsia" w:asciiTheme="minorEastAsia" w:hAnsiTheme="minorEastAsia" w:eastAsiaTheme="minorEastAsia" w:cstheme="minorEastAsia"/>
                <w:szCs w:val="21"/>
              </w:rPr>
              <w:t>审核条款：</w:t>
            </w:r>
            <w:r>
              <w:rPr>
                <w:rFonts w:ascii="宋体" w:hAnsi="宋体"/>
                <w:sz w:val="18"/>
              </w:rPr>
              <w:t xml:space="preserve"> </w:t>
            </w:r>
          </w:p>
          <w:p>
            <w:pPr>
              <w:spacing w:line="360" w:lineRule="auto"/>
              <w:rPr>
                <w:rFonts w:ascii="宋体" w:hAnsi="宋体"/>
                <w:sz w:val="18"/>
              </w:rPr>
            </w:pPr>
            <w:r>
              <w:rPr>
                <w:rFonts w:ascii="宋体" w:hAnsi="宋体"/>
                <w:sz w:val="18"/>
              </w:rPr>
              <w:t>E:4.1/4.2/4.3/4.4/5.1/5.2/5.3/6.1.1/6.1.4/6.2/7.1/9.3/10.1/10.3</w:t>
            </w:r>
          </w:p>
          <w:p>
            <w:pPr>
              <w:spacing w:line="360" w:lineRule="auto"/>
              <w:rPr>
                <w:rFonts w:hint="default" w:eastAsia="宋体" w:asciiTheme="minorEastAsia" w:hAnsiTheme="minorEastAsia" w:cstheme="minorEastAsia"/>
                <w:szCs w:val="21"/>
                <w:lang w:val="en-US" w:eastAsia="zh-CN"/>
              </w:rPr>
            </w:pPr>
            <w:r>
              <w:rPr>
                <w:rFonts w:hint="eastAsia" w:ascii="宋体" w:hAnsi="宋体" w:eastAsia="宋体" w:cs="Times New Roman"/>
                <w:b/>
                <w:bCs/>
                <w:sz w:val="18"/>
              </w:rPr>
              <w:t>资质验证/范围再确认/</w:t>
            </w:r>
            <w:r>
              <w:rPr>
                <w:rFonts w:hint="eastAsia" w:ascii="宋体" w:hAnsi="宋体" w:eastAsia="宋体" w:cs="Times New Roman"/>
                <w:b/>
                <w:bCs/>
                <w:sz w:val="18"/>
                <w:lang w:val="en-US" w:eastAsia="zh-CN"/>
              </w:rPr>
              <w:t>上次审核</w:t>
            </w:r>
            <w:r>
              <w:rPr>
                <w:rFonts w:hint="eastAsia" w:ascii="宋体" w:hAnsi="宋体" w:eastAsia="宋体" w:cs="Times New Roman"/>
                <w:b/>
                <w:bCs/>
                <w:sz w:val="18"/>
              </w:rPr>
              <w:t>问题验证/投诉或事故/政府主管部门监督抽查情况</w:t>
            </w:r>
            <w:r>
              <w:rPr>
                <w:rFonts w:hint="eastAsia" w:ascii="宋体" w:hAnsi="宋体" w:eastAsia="宋体" w:cs="Times New Roman"/>
                <w:b/>
                <w:bCs/>
                <w:sz w:val="18"/>
                <w:lang w:val="en-US" w:eastAsia="zh-CN"/>
              </w:rPr>
              <w:t>/证书、标志使用情况</w:t>
            </w:r>
          </w:p>
        </w:tc>
        <w:tc>
          <w:tcPr>
            <w:tcW w:w="753" w:type="dxa"/>
            <w:vMerge w:val="continue"/>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60"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资质</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范围再确认</w:t>
            </w:r>
          </w:p>
          <w:p>
            <w:pPr>
              <w:spacing w:line="360" w:lineRule="auto"/>
              <w:rPr>
                <w:rFonts w:asciiTheme="minorEastAsia" w:hAnsiTheme="minorEastAsia" w:eastAsiaTheme="minorEastAsia" w:cstheme="minorEastAsia"/>
                <w:szCs w:val="21"/>
              </w:rPr>
            </w:pPr>
          </w:p>
          <w:p>
            <w:pPr>
              <w:pStyle w:val="2"/>
              <w:spacing w:line="360" w:lineRule="auto"/>
            </w:pPr>
          </w:p>
          <w:p>
            <w:pPr>
              <w:pStyle w:val="2"/>
              <w:spacing w:line="360" w:lineRule="auto"/>
              <w:rPr>
                <w:rFonts w:hint="eastAsia"/>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tc>
        <w:tc>
          <w:tcPr>
            <w:tcW w:w="1111" w:type="dxa"/>
            <w:vAlign w:val="center"/>
          </w:tcPr>
          <w:p>
            <w:pPr>
              <w:spacing w:line="360" w:lineRule="auto"/>
              <w:rPr>
                <w:rFonts w:asciiTheme="minorEastAsia" w:hAnsiTheme="minorEastAsia" w:eastAsiaTheme="minorEastAsia" w:cstheme="minorEastAsia"/>
                <w:szCs w:val="21"/>
              </w:rPr>
            </w:pPr>
          </w:p>
        </w:tc>
        <w:tc>
          <w:tcPr>
            <w:tcW w:w="11585" w:type="dxa"/>
            <w:vAlign w:val="center"/>
          </w:tcPr>
          <w:p>
            <w:pPr>
              <w:spacing w:line="360" w:lineRule="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西安标准精密机械有限公司</w:t>
            </w:r>
          </w:p>
          <w:p>
            <w:pPr>
              <w:spacing w:line="360" w:lineRule="auto"/>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注册地址：陕西省西安市高新区高新三路8号橙仕空间2幢1单元11502-570室</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2021年9月份发生变更</w:t>
            </w:r>
            <w:bookmarkStart w:id="0" w:name="_GoBack"/>
            <w:bookmarkEnd w:id="0"/>
            <w:r>
              <w:rPr>
                <w:rFonts w:hint="eastAsia" w:asciiTheme="minorEastAsia" w:hAnsiTheme="minorEastAsia" w:eastAsiaTheme="minorEastAsia" w:cstheme="minorEastAsia"/>
                <w:szCs w:val="21"/>
                <w:lang w:val="en-US" w:eastAsia="zh-CN"/>
              </w:rPr>
              <w:t>。</w:t>
            </w:r>
          </w:p>
          <w:p>
            <w:pPr>
              <w:spacing w:line="360" w:lineRule="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审核地址：陕西省西安市雁塔区科技二路1号行知楼</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查营业执照，统一社会信用代码：916101047350459639</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成立日期：2002-04-12 至 无固定期限</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法人代表：</w:t>
            </w:r>
            <w:r>
              <w:rPr>
                <w:rFonts w:hint="eastAsia" w:asciiTheme="minorEastAsia" w:hAnsiTheme="minorEastAsia" w:eastAsiaTheme="minorEastAsia" w:cstheme="minorEastAsia"/>
                <w:szCs w:val="21"/>
                <w:lang w:eastAsia="zh-CN"/>
              </w:rPr>
              <w:t>吕珂玲</w:t>
            </w:r>
            <w:r>
              <w:rPr>
                <w:rFonts w:hint="eastAsia" w:asciiTheme="minorEastAsia" w:hAnsiTheme="minorEastAsia" w:eastAsiaTheme="minorEastAsia" w:cstheme="minorEastAsia"/>
                <w:szCs w:val="21"/>
              </w:rPr>
              <w:t> ，注册资本：</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00万元人民币</w:t>
            </w:r>
          </w:p>
          <w:p>
            <w:pPr>
              <w:spacing w:line="360" w:lineRule="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营业执照范围：铝合金压铸，机械加工，销售本公司产品</w:t>
            </w:r>
            <w:r>
              <w:rPr>
                <w:rFonts w:hint="eastAsia" w:asciiTheme="minorEastAsia" w:hAnsiTheme="minorEastAsia" w:eastAsiaTheme="minorEastAsia" w:cstheme="minorEastAsia"/>
                <w:szCs w:val="21"/>
                <w:lang w:eastAsia="zh-CN"/>
              </w:rPr>
              <w:t>；</w:t>
            </w:r>
          </w:p>
          <w:p>
            <w:pPr>
              <w:pStyle w:val="2"/>
              <w:rPr>
                <w:rFonts w:hint="default"/>
                <w:lang w:val="en-US" w:eastAsia="zh-CN"/>
              </w:rPr>
            </w:pPr>
            <w:r>
              <w:rPr>
                <w:rFonts w:hint="eastAsia" w:asciiTheme="minorEastAsia" w:hAnsiTheme="minorEastAsia" w:eastAsiaTheme="minorEastAsia" w:cstheme="minorEastAsia"/>
                <w:szCs w:val="21"/>
                <w:lang w:val="en-US" w:eastAsia="zh-CN"/>
              </w:rPr>
              <w:t>认证范围为：汽车用铝合金零部件的销售及相关环境管理活动</w:t>
            </w:r>
          </w:p>
          <w:p>
            <w:pPr>
              <w:spacing w:line="360" w:lineRule="auto"/>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查国家企业信用信息公示系统，企业无异常经营记录、无违法失信记录。</w:t>
            </w:r>
          </w:p>
        </w:tc>
        <w:tc>
          <w:tcPr>
            <w:tcW w:w="753"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理解组织及其环境</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总要求</w:t>
            </w:r>
          </w:p>
          <w:p>
            <w:pPr>
              <w:spacing w:line="360" w:lineRule="auto"/>
              <w:rPr>
                <w:rFonts w:asciiTheme="minorEastAsia" w:hAnsiTheme="minorEastAsia" w:eastAsiaTheme="minorEastAsia" w:cstheme="minorEastAsia"/>
                <w:szCs w:val="21"/>
              </w:rPr>
            </w:pPr>
          </w:p>
        </w:tc>
        <w:tc>
          <w:tcPr>
            <w:tcW w:w="1111"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E4.1</w:t>
            </w:r>
          </w:p>
          <w:p>
            <w:pPr>
              <w:spacing w:line="360" w:lineRule="auto"/>
              <w:rPr>
                <w:rFonts w:asciiTheme="minorEastAsia" w:hAnsiTheme="minorEastAsia" w:eastAsiaTheme="minorEastAsia" w:cstheme="minorEastAsia"/>
                <w:szCs w:val="21"/>
              </w:rPr>
            </w:pPr>
          </w:p>
        </w:tc>
        <w:tc>
          <w:tcPr>
            <w:tcW w:w="11585" w:type="dxa"/>
            <w:vAlign w:val="center"/>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公司每年根据由公司销售人员从市场、客户、网络等搜集到的信息并结合公司自身业务运作情况进行分析，通过分析对这些内部和外部因素的相关信息进行监视和评审以确保其充分和适宜。</w:t>
            </w:r>
          </w:p>
        </w:tc>
        <w:tc>
          <w:tcPr>
            <w:tcW w:w="753"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260"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理解相关方的需求和期望</w:t>
            </w:r>
          </w:p>
        </w:tc>
        <w:tc>
          <w:tcPr>
            <w:tcW w:w="1111"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E4.2</w:t>
            </w:r>
          </w:p>
        </w:tc>
        <w:tc>
          <w:tcPr>
            <w:tcW w:w="11585" w:type="dxa"/>
            <w:vAlign w:val="center"/>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在公司运营过程中充分考虑相关方方面的期望或要求，识别的相关方有：顾客、最终用户或受益人、业主，股东、员工等。</w:t>
            </w:r>
            <w:r>
              <w:rPr>
                <w:rFonts w:hint="eastAsia" w:asciiTheme="minorEastAsia" w:hAnsiTheme="minorEastAsia" w:eastAsiaTheme="minorEastAsia" w:cstheme="minorEastAsia"/>
                <w:szCs w:val="21"/>
                <w:lang w:eastAsia="zh-CN"/>
              </w:rPr>
              <w:t>供销部</w:t>
            </w:r>
            <w:r>
              <w:rPr>
                <w:rFonts w:hint="eastAsia" w:asciiTheme="minorEastAsia" w:hAnsiTheme="minorEastAsia" w:eastAsiaTheme="minorEastAsia" w:cstheme="minorEastAsia"/>
                <w:szCs w:val="21"/>
              </w:rPr>
              <w:t>门和相关职能部门通过日常例会、市场活动、现场拜访、产品展销会、客户调查等多种渠道和方式方法随时了解相关方的需求和期望。做为公司经营风险分析和发展机遇的可利用资源。</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与公司高管交流，内外部相关方需求分析到位，未形成很好的书面材料。口头交流。</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内外部环境要素识别与评估：在每年的管理评审前，由相关部门负责人进行识别并评估其适宜性。以便于持续满足相关方的需求和期望。</w:t>
            </w:r>
          </w:p>
        </w:tc>
        <w:tc>
          <w:tcPr>
            <w:tcW w:w="753"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1260" w:type="dxa"/>
            <w:vAlign w:val="center"/>
          </w:tcPr>
          <w:p>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确定量管理体系的范围</w:t>
            </w:r>
          </w:p>
          <w:p>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总要求</w:t>
            </w:r>
          </w:p>
        </w:tc>
        <w:tc>
          <w:tcPr>
            <w:tcW w:w="1111" w:type="dxa"/>
            <w:vAlign w:val="center"/>
          </w:tcPr>
          <w:p>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E4.3</w:t>
            </w:r>
          </w:p>
          <w:p>
            <w:pPr>
              <w:spacing w:line="360" w:lineRule="auto"/>
              <w:rPr>
                <w:rFonts w:asciiTheme="minorEastAsia" w:hAnsiTheme="minorEastAsia" w:eastAsiaTheme="minorEastAsia" w:cstheme="minorEastAsia"/>
                <w:color w:val="auto"/>
                <w:szCs w:val="21"/>
              </w:rPr>
            </w:pPr>
          </w:p>
        </w:tc>
        <w:tc>
          <w:tcPr>
            <w:tcW w:w="11585" w:type="dxa"/>
            <w:vAlign w:val="center"/>
          </w:tcPr>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公司管理体系范围：</w:t>
            </w:r>
          </w:p>
          <w:p>
            <w:pPr>
              <w:spacing w:line="360" w:lineRule="auto"/>
              <w:rPr>
                <w:rFonts w:hint="eastAsia" w:ascii="宋体" w:hAnsi="宋体" w:eastAsia="宋体"/>
                <w:color w:val="auto"/>
                <w:szCs w:val="21"/>
                <w:lang w:eastAsia="zh-CN"/>
              </w:rPr>
            </w:pPr>
            <w:r>
              <w:rPr>
                <w:rFonts w:ascii="宋体" w:hAnsi="宋体"/>
                <w:b/>
                <w:color w:val="auto"/>
                <w:szCs w:val="21"/>
              </w:rPr>
              <w:t>EMS:</w:t>
            </w:r>
            <w:r>
              <w:rPr>
                <w:color w:val="auto"/>
              </w:rPr>
              <w:t xml:space="preserve"> </w:t>
            </w:r>
            <w:r>
              <w:rPr>
                <w:rFonts w:hint="eastAsia" w:ascii="宋体" w:hAnsi="宋体"/>
                <w:color w:val="auto"/>
                <w:szCs w:val="21"/>
                <w:lang w:eastAsia="zh-CN"/>
              </w:rPr>
              <w:t>汽车用铝合金零部件的销售及相关环境管理活动</w:t>
            </w:r>
          </w:p>
          <w:p>
            <w:pPr>
              <w:spacing w:line="360" w:lineRule="auto"/>
              <w:ind w:firstLine="420" w:firstLineChars="200"/>
              <w:rPr>
                <w:rFonts w:asciiTheme="minorEastAsia" w:hAnsiTheme="minorEastAsia" w:eastAsiaTheme="minorEastAsia" w:cstheme="minorEastAsia"/>
                <w:color w:val="auto"/>
                <w:szCs w:val="21"/>
              </w:rPr>
            </w:pPr>
          </w:p>
        </w:tc>
        <w:tc>
          <w:tcPr>
            <w:tcW w:w="753"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60"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管理体系及其过程</w:t>
            </w:r>
          </w:p>
          <w:p>
            <w:pPr>
              <w:spacing w:line="360" w:lineRule="auto"/>
              <w:rPr>
                <w:rFonts w:asciiTheme="minorEastAsia" w:hAnsiTheme="minorEastAsia" w:eastAsiaTheme="minorEastAsia" w:cstheme="minorEastAsia"/>
                <w:szCs w:val="21"/>
              </w:rPr>
            </w:pPr>
          </w:p>
        </w:tc>
        <w:tc>
          <w:tcPr>
            <w:tcW w:w="1111"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E4.4</w:t>
            </w:r>
          </w:p>
        </w:tc>
        <w:tc>
          <w:tcPr>
            <w:tcW w:w="11585" w:type="dxa"/>
            <w:vAlign w:val="center"/>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组织于</w:t>
            </w:r>
            <w:r>
              <w:rPr>
                <w:rFonts w:hint="eastAsia" w:asciiTheme="minorEastAsia" w:hAnsiTheme="minorEastAsia" w:eastAsiaTheme="minorEastAsia" w:cstheme="minorEastAsia"/>
                <w:szCs w:val="21"/>
                <w:lang w:eastAsia="zh-CN"/>
              </w:rPr>
              <w:t>2</w:t>
            </w:r>
            <w:r>
              <w:rPr>
                <w:rFonts w:hint="eastAsia" w:asciiTheme="minorEastAsia" w:hAnsiTheme="minorEastAsia" w:eastAsiaTheme="minorEastAsia" w:cstheme="minorEastAsia"/>
                <w:szCs w:val="21"/>
                <w:lang w:val="en-US" w:eastAsia="zh-CN"/>
              </w:rPr>
              <w:t>019</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日建立并正式实施管理体系。同时根据自身的实际情况和标准的要求组织工作人员编制了管理手册、作业文件和记录表格，制定了管理方针和管理目标。通过对过程监测结果进行分析，公司管理体系不断改进。</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确定了管理体系所需的过程，如文件与记录管理过程、人力资源管理过程、销售过程、环境运行过程等，并明确各过程的目标和职责，及各过程之间的衔接和影响。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出示有“部门管理目标策划记录”对管理目标完成情况进行检查、统计、记录。</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提供了支持过程策划和运行的形成文件的信息。</w:t>
            </w:r>
          </w:p>
          <w:p>
            <w:pPr>
              <w:spacing w:line="360" w:lineRule="auto"/>
              <w:ind w:firstLine="420" w:firstLineChars="20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上次审核至今未发生变化。</w:t>
            </w:r>
          </w:p>
        </w:tc>
        <w:tc>
          <w:tcPr>
            <w:tcW w:w="753"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260"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领导作用和承诺</w:t>
            </w:r>
          </w:p>
          <w:p>
            <w:pPr>
              <w:spacing w:line="360" w:lineRule="auto"/>
              <w:rPr>
                <w:rFonts w:asciiTheme="minorEastAsia" w:hAnsiTheme="minorEastAsia" w:eastAsiaTheme="minorEastAsia" w:cstheme="minorEastAsia"/>
                <w:szCs w:val="21"/>
              </w:rPr>
            </w:pPr>
          </w:p>
        </w:tc>
        <w:tc>
          <w:tcPr>
            <w:tcW w:w="1111"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E5.1</w:t>
            </w:r>
          </w:p>
        </w:tc>
        <w:tc>
          <w:tcPr>
            <w:tcW w:w="11585" w:type="dxa"/>
            <w:vAlign w:val="center"/>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包括人力、设备、技术和信息等）确保管理体系实现期望的结果；督促人员积极参与、指导和支持员工为管理体系的有效性做出贡献；支持相关管理者在其职责范围内发挥领导作用，推动改进等。领导作用和承诺充分明确，基本符合标准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753"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260"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环境方针</w:t>
            </w:r>
          </w:p>
        </w:tc>
        <w:tc>
          <w:tcPr>
            <w:tcW w:w="1111"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E5.2</w:t>
            </w:r>
          </w:p>
          <w:p>
            <w:pPr>
              <w:spacing w:line="360" w:lineRule="auto"/>
              <w:rPr>
                <w:rFonts w:asciiTheme="minorEastAsia" w:hAnsiTheme="minorEastAsia" w:eastAsiaTheme="minorEastAsia" w:cstheme="minorEastAsia"/>
                <w:szCs w:val="21"/>
              </w:rPr>
            </w:pPr>
          </w:p>
        </w:tc>
        <w:tc>
          <w:tcPr>
            <w:tcW w:w="11585" w:type="dxa"/>
            <w:vAlign w:val="center"/>
          </w:tcPr>
          <w:p>
            <w:pPr>
              <w:spacing w:line="360" w:lineRule="auto"/>
              <w:ind w:firstLine="420" w:firstLineChars="200"/>
            </w:pPr>
            <w:r>
              <w:rPr>
                <w:rFonts w:hint="eastAsia"/>
              </w:rPr>
              <w:t>公司的管理方针是：</w:t>
            </w:r>
          </w:p>
          <w:p>
            <w:pPr>
              <w:spacing w:line="360" w:lineRule="auto"/>
              <w:ind w:firstLine="420" w:firstLineChars="200"/>
              <w:rPr>
                <w:rFonts w:hint="eastAsia"/>
              </w:rPr>
            </w:pPr>
            <w:r>
              <w:rPr>
                <w:rFonts w:hint="eastAsia"/>
              </w:rPr>
              <w:t>遵守法律法规     制造绿色产品</w:t>
            </w:r>
          </w:p>
          <w:p>
            <w:pPr>
              <w:spacing w:line="360" w:lineRule="auto"/>
              <w:ind w:firstLine="420" w:firstLineChars="200"/>
              <w:rPr>
                <w:rFonts w:hint="eastAsia"/>
              </w:rPr>
            </w:pPr>
            <w:r>
              <w:rPr>
                <w:rFonts w:hint="eastAsia"/>
              </w:rPr>
              <w:t>节能降耗降废     清洁安全服务</w:t>
            </w:r>
          </w:p>
          <w:p>
            <w:pPr>
              <w:spacing w:line="360" w:lineRule="auto"/>
              <w:ind w:firstLine="420" w:firstLineChars="200"/>
            </w:pPr>
            <w:r>
              <w:rPr>
                <w:rFonts w:hint="eastAsia"/>
              </w:rPr>
              <w:t>管理持续改进     建设美好家园</w:t>
            </w:r>
          </w:p>
          <w:p>
            <w:pPr>
              <w:spacing w:line="360" w:lineRule="auto"/>
              <w:ind w:firstLine="420" w:firstLineChars="200"/>
              <w:rPr>
                <w:rFonts w:hint="eastAsia"/>
              </w:rPr>
            </w:pPr>
            <w:r>
              <w:rPr>
                <w:rFonts w:hint="eastAsia"/>
              </w:rPr>
              <w:t>公司通过各种宣传方式，将管理方针宣传到本公司各层次，确保方针得到正确的理解和实施。在每次管理评审会议上，总经理组织对方针的持续适宜性和有效性进行评审，并根据评审结果对其做出必要的调整。当有相关方需要公司提供管理方针时，可通过公司内部进行传递获取。</w:t>
            </w:r>
          </w:p>
          <w:p>
            <w:pPr>
              <w:pStyle w:val="2"/>
              <w:spacing w:line="360" w:lineRule="auto"/>
              <w:ind w:firstLine="460" w:firstLineChars="200"/>
              <w:rPr>
                <w:rFonts w:hint="default" w:eastAsiaTheme="minorEastAsia"/>
                <w:lang w:val="en-US" w:eastAsia="zh-CN"/>
              </w:rPr>
            </w:pPr>
            <w:r>
              <w:rPr>
                <w:rFonts w:hint="eastAsia" w:asciiTheme="minorEastAsia" w:hAnsiTheme="minorEastAsia" w:eastAsiaTheme="minorEastAsia" w:cstheme="minorEastAsia"/>
                <w:szCs w:val="21"/>
                <w:lang w:val="en-US" w:eastAsia="zh-CN"/>
              </w:rPr>
              <w:t>方针没有变化。</w:t>
            </w:r>
          </w:p>
        </w:tc>
        <w:tc>
          <w:tcPr>
            <w:tcW w:w="753"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1260" w:type="dxa"/>
            <w:vAlign w:val="center"/>
          </w:tcPr>
          <w:p>
            <w:pPr>
              <w:spacing w:line="360" w:lineRule="auto"/>
              <w:rPr>
                <w:rFonts w:asciiTheme="minorEastAsia" w:hAnsiTheme="minorEastAsia" w:eastAsiaTheme="minorEastAsia" w:cstheme="minorEastAsia"/>
                <w:szCs w:val="21"/>
              </w:rPr>
            </w:pPr>
            <w:r>
              <w:rPr>
                <w:rFonts w:hint="eastAsia" w:ascii="宋体" w:hAnsi="宋体" w:cs="宋体"/>
                <w:color w:val="000000" w:themeColor="text1"/>
                <w:szCs w:val="21"/>
              </w:rPr>
              <w:t>组织的角色、职责和权限</w:t>
            </w:r>
          </w:p>
        </w:tc>
        <w:tc>
          <w:tcPr>
            <w:tcW w:w="1111"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E5.3</w:t>
            </w:r>
          </w:p>
          <w:p>
            <w:pPr>
              <w:spacing w:line="360" w:lineRule="auto"/>
              <w:rPr>
                <w:rFonts w:asciiTheme="minorEastAsia" w:hAnsiTheme="minorEastAsia" w:eastAsiaTheme="minorEastAsia" w:cstheme="minorEastAsia"/>
                <w:szCs w:val="21"/>
              </w:rPr>
            </w:pPr>
          </w:p>
        </w:tc>
        <w:tc>
          <w:tcPr>
            <w:tcW w:w="11585" w:type="dxa"/>
            <w:vAlign w:val="center"/>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公司设置了完善的组织结构，并规定了各级各岗位人员职责、权限和相互关系，</w:t>
            </w:r>
            <w:r>
              <w:rPr>
                <w:rFonts w:hint="eastAsia"/>
                <w:szCs w:val="21"/>
              </w:rPr>
              <w:t>编制</w:t>
            </w:r>
            <w:r>
              <w:rPr>
                <w:rFonts w:hint="eastAsia" w:ascii="宋体" w:hAnsi="宋体" w:eastAsia="宋体" w:cs="宋体"/>
                <w:szCs w:val="24"/>
                <w:lang w:eastAsia="zh-CN"/>
              </w:rPr>
              <w:t>人力资源控制程序</w:t>
            </w:r>
            <w:r>
              <w:rPr>
                <w:rFonts w:hint="eastAsia"/>
                <w:szCs w:val="21"/>
              </w:rPr>
              <w:t>和《岗位描述书》，规定了控制要求</w:t>
            </w:r>
            <w:r>
              <w:rPr>
                <w:rFonts w:hint="eastAsia" w:asciiTheme="minorEastAsia" w:hAnsiTheme="minorEastAsia" w:eastAsiaTheme="minorEastAsia" w:cstheme="minorEastAsia"/>
                <w:szCs w:val="21"/>
              </w:rPr>
              <w:t>并在公司内对各级员工进行了必要的传达。对从事与环境有关的管理、执行和验证人员规定其职责、权限及其相互关系，并书面化，以实现公司管理方针和管理目标。有效进行管理体系各项活动，出示了公司管理体系职能分配表。</w:t>
            </w:r>
          </w:p>
          <w:p>
            <w:pPr>
              <w:spacing w:line="360" w:lineRule="auto"/>
              <w:ind w:firstLine="420" w:firstLineChars="200"/>
              <w:rPr>
                <w:rFonts w:hint="default" w:eastAsia="宋体" w:asciiTheme="minorEastAsia" w:hAnsiTheme="minorEastAsia" w:cstheme="minorEastAsia"/>
                <w:szCs w:val="21"/>
                <w:lang w:val="en-US" w:eastAsia="zh-CN"/>
              </w:rPr>
            </w:pPr>
            <w:r>
              <w:rPr>
                <w:rFonts w:hint="eastAsia"/>
                <w:szCs w:val="21"/>
              </w:rPr>
              <w:t>公司的部门设置有：</w:t>
            </w:r>
            <w:r>
              <w:rPr>
                <w:rFonts w:hint="eastAsia"/>
                <w:lang w:val="en-US" w:eastAsia="zh-CN"/>
              </w:rPr>
              <w:t>行政部</w:t>
            </w:r>
            <w:r>
              <w:t xml:space="preserve"> </w:t>
            </w:r>
            <w:r>
              <w:rPr>
                <w:rFonts w:hint="eastAsia"/>
                <w:lang w:val="en-US" w:eastAsia="zh-CN"/>
              </w:rPr>
              <w:t>供销</w:t>
            </w:r>
            <w:r>
              <w:t>部</w:t>
            </w:r>
            <w:r>
              <w:rPr>
                <w:rFonts w:hint="eastAsia"/>
                <w:lang w:val="en-US" w:eastAsia="zh-CN"/>
              </w:rPr>
              <w:t xml:space="preserve"> 财务部</w:t>
            </w:r>
          </w:p>
        </w:tc>
        <w:tc>
          <w:tcPr>
            <w:tcW w:w="753"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60"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风险和机遇应对措施及策划</w:t>
            </w:r>
          </w:p>
        </w:tc>
        <w:tc>
          <w:tcPr>
            <w:tcW w:w="1111"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E6.1</w:t>
            </w:r>
          </w:p>
        </w:tc>
        <w:tc>
          <w:tcPr>
            <w:tcW w:w="11585" w:type="dxa"/>
            <w:vAlign w:val="center"/>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公司制定管理手册中，明确风险和机遇事件的识别方法/途径、风险和机遇事件的评估方式、制定主要风险和机遇事件的应对措施的要求、评价这些措施有效性的方法。</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制定了《</w:t>
            </w:r>
            <w:r>
              <w:rPr>
                <w:rFonts w:hint="eastAsia" w:asciiTheme="minorEastAsia" w:hAnsiTheme="minorEastAsia" w:eastAsiaTheme="minorEastAsia" w:cstheme="minorEastAsia"/>
                <w:szCs w:val="21"/>
                <w:lang w:eastAsia="zh-CN"/>
              </w:rPr>
              <w:t>风险和机遇应对控制程序</w:t>
            </w:r>
            <w:r>
              <w:rPr>
                <w:rFonts w:hint="eastAsia" w:asciiTheme="minorEastAsia" w:hAnsiTheme="minorEastAsia" w:eastAsiaTheme="minorEastAsia" w:cstheme="minorEastAsia"/>
                <w:szCs w:val="21"/>
              </w:rPr>
              <w:t>》，提供“风险与机遇评价与应对策划表”，按照销售服务、采购、支持过程/部门对风险和机遇进行了评价识别，并制定应对措施。</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合同、协议内容评审不及时、不全面，合同签署后不能如期、按照要求履约、客户公司不及时回款、盖章合同未及时收回、市场需求量减少，经济不景气，同时加上竞争对手的扩大发展，对公司产品的竞争力和价格都产生比较大的压力，市场风险比较大、力资源管理过程、文件化信息管理过程、分析、评价与改进过程等。应急管理过程人员管理过程中出现的岗位人员突然离岗多人；员工能力、不能满足岗位需求；员工思想波动，工作不安心等风险共识别多项内容。</w:t>
            </w:r>
          </w:p>
          <w:p>
            <w:pPr>
              <w:spacing w:line="360" w:lineRule="auto"/>
              <w:ind w:firstLine="420" w:firstLineChars="20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采取措施是：制定并严格执行合同会签制度，各部门主管负责人及总经理审阅同意后才能签署盖章</w:t>
            </w:r>
            <w:r>
              <w:rPr>
                <w:rFonts w:hint="eastAsia" w:asciiTheme="minorEastAsia" w:hAnsiTheme="minorEastAsia" w:eastAsiaTheme="minorEastAsia" w:cstheme="minorEastAsia"/>
                <w:szCs w:val="21"/>
                <w:lang w:eastAsia="zh-CN"/>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每月按照合同、协议对账时间及时对账，催款，回款，降低资金风险。</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本公司盖完章后，一个月内必须收回对方盖章合同。如到期回不来备注原因，降低公司无合同风险。</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定期汇总分析市场情况，包括行业发展情况，相关企业产品分析，竞品分析，行业政策跟踪，以保证随时掌握行业及竞争企业的发展动态，为研发及业务拓展提供决策依据；</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要提前制定好采购计划和拓展采购的渠道，保证供应。</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公司提供财务支持，对主要供应商的优质产品保持价格优势，促进有序采购；</w:t>
            </w:r>
          </w:p>
          <w:p>
            <w:pPr>
              <w:spacing w:line="360" w:lineRule="auto"/>
            </w:pPr>
            <w:r>
              <w:rPr>
                <w:rFonts w:hint="eastAsia" w:asciiTheme="minorEastAsia" w:hAnsiTheme="minorEastAsia" w:eastAsiaTheme="minorEastAsia" w:cstheme="minorEastAsia"/>
                <w:szCs w:val="21"/>
              </w:rPr>
              <w:t>及时获取顾客要求，对供货商进行严格资质评定，有环保要求的产品要求提供检测报告或材质单应急准备与响应控制程序、应急预案/制定目标等。识别人：</w:t>
            </w:r>
            <w:r>
              <w:rPr>
                <w:rFonts w:hint="eastAsia" w:eastAsiaTheme="minorEastAsia"/>
                <w:lang w:eastAsia="zh-CN"/>
              </w:rPr>
              <w:t>杨杰</w:t>
            </w:r>
            <w:r>
              <w:rPr>
                <w:rFonts w:hint="eastAsia" w:asciiTheme="minorEastAsia" w:hAnsiTheme="minorEastAsia" w:eastAsiaTheme="minorEastAsia" w:cstheme="minorEastAsia"/>
                <w:szCs w:val="21"/>
              </w:rPr>
              <w:t xml:space="preserve">等， </w:t>
            </w:r>
            <w:r>
              <w:rPr>
                <w:rFonts w:hint="eastAsia" w:asciiTheme="minorEastAsia" w:hAnsiTheme="minorEastAsia" w:eastAsiaTheme="minorEastAsia" w:cstheme="minorEastAsia"/>
                <w:szCs w:val="21"/>
                <w:lang w:eastAsia="zh-CN"/>
              </w:rPr>
              <w:t>202</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风险机遇识别基本充分，应对风险和机遇的措施基本适宜。</w:t>
            </w:r>
          </w:p>
        </w:tc>
        <w:tc>
          <w:tcPr>
            <w:tcW w:w="753"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60"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管理目标及其实现的策划</w:t>
            </w:r>
          </w:p>
        </w:tc>
        <w:tc>
          <w:tcPr>
            <w:tcW w:w="1111"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E6.2</w:t>
            </w:r>
          </w:p>
          <w:p>
            <w:pPr>
              <w:spacing w:line="360" w:lineRule="auto"/>
              <w:rPr>
                <w:rFonts w:asciiTheme="minorEastAsia" w:hAnsiTheme="minorEastAsia" w:eastAsiaTheme="minorEastAsia" w:cstheme="minorEastAsia"/>
                <w:szCs w:val="21"/>
              </w:rPr>
            </w:pPr>
          </w:p>
        </w:tc>
        <w:tc>
          <w:tcPr>
            <w:tcW w:w="11585" w:type="dxa"/>
            <w:vAlign w:val="center"/>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总经理负责组织制定公司的环境管理目标，并在公司各部门进行分解，制定时考虑了公司的质量过程及其风险和机遇。</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公司环境目标：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完成情况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（1）固体废弃物100%分类集中处理；   </w:t>
            </w:r>
            <w:r>
              <w:rPr>
                <w:rFonts w:hint="eastAsia" w:asciiTheme="minorEastAsia" w:hAnsiTheme="minorEastAsia" w:eastAsiaTheme="minorEastAsia" w:cstheme="minorEastAsia"/>
                <w:szCs w:val="21"/>
                <w:lang w:val="en-US" w:eastAsia="zh-CN"/>
              </w:rPr>
              <w:t>100%</w:t>
            </w:r>
            <w:r>
              <w:rPr>
                <w:rFonts w:hint="eastAsia" w:asciiTheme="minorEastAsia" w:hAnsiTheme="minorEastAsia" w:eastAsiaTheme="minorEastAsia" w:cstheme="minorEastAsia"/>
                <w:szCs w:val="21"/>
              </w:rPr>
              <w:t>  </w:t>
            </w:r>
          </w:p>
          <w:p>
            <w:pPr>
              <w:spacing w:line="360" w:lineRule="auto"/>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（2）环境污染事故为0；</w:t>
            </w:r>
            <w:r>
              <w:rPr>
                <w:rFonts w:hint="eastAsia" w:asciiTheme="minorEastAsia" w:hAnsiTheme="minorEastAsia" w:eastAsiaTheme="minorEastAsia" w:cstheme="minorEastAsia"/>
                <w:szCs w:val="21"/>
                <w:lang w:val="en-US" w:eastAsia="zh-CN"/>
              </w:rPr>
              <w:t xml:space="preserve">                  0</w:t>
            </w:r>
          </w:p>
          <w:p>
            <w:pPr>
              <w:spacing w:line="360" w:lineRule="auto"/>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（3）火灾事故为0。</w:t>
            </w:r>
            <w:r>
              <w:rPr>
                <w:rFonts w:hint="eastAsia" w:asciiTheme="minorEastAsia" w:hAnsiTheme="minorEastAsia" w:eastAsiaTheme="minorEastAsia" w:cstheme="minorEastAsia"/>
                <w:szCs w:val="21"/>
                <w:lang w:val="en-US" w:eastAsia="zh-CN"/>
              </w:rPr>
              <w:t xml:space="preserve">                      0</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提供2021年12-2022年6月目标完成情况统计表，2021.12.1、2022.4.1、2022.7.1对目标进行了统计，以上目</w:t>
            </w:r>
            <w:r>
              <w:rPr>
                <w:rFonts w:hint="eastAsia" w:asciiTheme="minorEastAsia" w:hAnsiTheme="minorEastAsia" w:eastAsiaTheme="minorEastAsia" w:cstheme="minorEastAsia"/>
                <w:szCs w:val="21"/>
              </w:rPr>
              <w:t>标指标均已完成。</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提供《目标指标和管理方案》《目标指标和管理方案考核表》</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以上目标指标均已完成，管理方案规定了措施方法、完成时间表、责任人、资金等情况。详见各部门记录。</w:t>
            </w:r>
          </w:p>
        </w:tc>
        <w:tc>
          <w:tcPr>
            <w:tcW w:w="753"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260"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资源-总则</w:t>
            </w:r>
          </w:p>
        </w:tc>
        <w:tc>
          <w:tcPr>
            <w:tcW w:w="1111"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 7.1</w:t>
            </w:r>
          </w:p>
        </w:tc>
        <w:tc>
          <w:tcPr>
            <w:tcW w:w="11585" w:type="dxa"/>
            <w:vAlign w:val="center"/>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公司根据公司经营运行需要，配备了各岗位所需人员、经营用房屋、生产设备、监视测量设备、办公设备（电脑、打印机等）、消防器材、环境防护用品。</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经营运行资金等资源，体系建立至今，未发生资源不足影响满足客户要求的现象.</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w:t>
            </w:r>
            <w:r>
              <w:rPr>
                <w:rFonts w:hint="eastAsia" w:asciiTheme="minorEastAsia" w:hAnsiTheme="minorEastAsia" w:eastAsiaTheme="minorEastAsia" w:cstheme="minorEastAsia"/>
                <w:color w:val="auto"/>
                <w:szCs w:val="21"/>
              </w:rPr>
              <w:t>公</w:t>
            </w:r>
            <w:r>
              <w:rPr>
                <w:rFonts w:hint="eastAsia" w:asciiTheme="minorEastAsia" w:hAnsiTheme="minorEastAsia" w:eastAsiaTheme="minorEastAsia" w:cstheme="minorEastAsia"/>
                <w:color w:val="auto"/>
                <w:szCs w:val="21"/>
                <w:lang w:val="en-US" w:eastAsia="zh-CN"/>
              </w:rPr>
              <w:t>地址位于陕西省西安市雁塔区科技二路1号行知楼，</w:t>
            </w:r>
            <w:r>
              <w:rPr>
                <w:rFonts w:hint="eastAsia" w:asciiTheme="minorEastAsia" w:hAnsiTheme="minorEastAsia" w:eastAsiaTheme="minorEastAsia" w:cstheme="minorEastAsia"/>
                <w:color w:val="auto"/>
                <w:szCs w:val="21"/>
              </w:rPr>
              <w:t>面积约</w:t>
            </w:r>
            <w:r>
              <w:rPr>
                <w:rFonts w:hint="eastAsia" w:asciiTheme="minorEastAsia" w:hAnsiTheme="minorEastAsia" w:eastAsiaTheme="minorEastAsia" w:cstheme="minorEastAsia"/>
                <w:color w:val="auto"/>
                <w:szCs w:val="21"/>
                <w:lang w:val="en-US" w:eastAsia="zh-CN"/>
              </w:rPr>
              <w:t>80</w:t>
            </w:r>
            <w:r>
              <w:rPr>
                <w:rFonts w:hint="eastAsia" w:asciiTheme="minorEastAsia" w:hAnsiTheme="minorEastAsia" w:eastAsiaTheme="minorEastAsia" w:cstheme="minorEastAsia"/>
                <w:color w:val="auto"/>
                <w:szCs w:val="21"/>
              </w:rPr>
              <w:t>平米</w:t>
            </w:r>
            <w:r>
              <w:rPr>
                <w:rFonts w:hint="eastAsia" w:asciiTheme="minorEastAsia" w:hAnsiTheme="minorEastAsia" w:eastAsiaTheme="minorEastAsia" w:cstheme="minorEastAsia"/>
                <w:color w:val="auto"/>
                <w:szCs w:val="21"/>
                <w:lang w:val="en-US" w:eastAsia="zh-CN"/>
              </w:rPr>
              <w:t>。</w:t>
            </w:r>
            <w:r>
              <w:rPr>
                <w:rFonts w:hint="eastAsia" w:asciiTheme="minorEastAsia" w:hAnsiTheme="minorEastAsia" w:eastAsiaTheme="minorEastAsia" w:cstheme="minorEastAsia"/>
                <w:color w:val="auto"/>
                <w:szCs w:val="21"/>
              </w:rPr>
              <w:t>打印机、电脑、复印机等配备齐全。</w:t>
            </w:r>
          </w:p>
        </w:tc>
        <w:tc>
          <w:tcPr>
            <w:tcW w:w="753"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运行策划和控制</w:t>
            </w:r>
          </w:p>
          <w:p>
            <w:pPr>
              <w:spacing w:line="360" w:lineRule="auto"/>
              <w:rPr>
                <w:rFonts w:asciiTheme="minorEastAsia" w:hAnsiTheme="minorEastAsia" w:eastAsiaTheme="minorEastAsia" w:cstheme="minorEastAsia"/>
                <w:szCs w:val="21"/>
              </w:rPr>
            </w:pPr>
          </w:p>
        </w:tc>
        <w:tc>
          <w:tcPr>
            <w:tcW w:w="1111"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E8.1</w:t>
            </w:r>
          </w:p>
          <w:p>
            <w:pPr>
              <w:spacing w:line="360" w:lineRule="auto"/>
              <w:rPr>
                <w:rFonts w:asciiTheme="minorEastAsia" w:hAnsiTheme="minorEastAsia" w:eastAsiaTheme="minorEastAsia" w:cstheme="minorEastAsia"/>
                <w:color w:val="FF0000"/>
                <w:szCs w:val="21"/>
              </w:rPr>
            </w:pPr>
          </w:p>
        </w:tc>
        <w:tc>
          <w:tcPr>
            <w:tcW w:w="11585" w:type="dxa"/>
            <w:vAlign w:val="center"/>
          </w:tcPr>
          <w:p>
            <w:pPr>
              <w:spacing w:line="360" w:lineRule="auto"/>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编制与环境、安全管理体系运行控制有关的文件有《</w:t>
            </w:r>
            <w:r>
              <w:rPr>
                <w:rFonts w:hint="eastAsia" w:asciiTheme="minorEastAsia" w:hAnsiTheme="minorEastAsia" w:eastAsiaTheme="minorEastAsia" w:cstheme="minorEastAsia"/>
                <w:szCs w:val="21"/>
                <w:lang w:eastAsia="zh-CN"/>
              </w:rPr>
              <w:t>环境运行控制程序</w:t>
            </w:r>
            <w:r>
              <w:rPr>
                <w:rFonts w:hint="eastAsia" w:asciiTheme="minorEastAsia" w:hAnsiTheme="minorEastAsia" w:eastAsiaTheme="minorEastAsia" w:cstheme="minorEastAsia"/>
                <w:szCs w:val="21"/>
              </w:rPr>
              <w:t>》，规定了以下控制：</w:t>
            </w:r>
          </w:p>
          <w:p>
            <w:pPr>
              <w:spacing w:line="360" w:lineRule="auto"/>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1、废水管控</w:t>
            </w:r>
          </w:p>
          <w:p>
            <w:pPr>
              <w:spacing w:line="360" w:lineRule="auto"/>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主要生活废水排入政府污水管网统一处理。</w:t>
            </w:r>
          </w:p>
          <w:p>
            <w:pPr>
              <w:spacing w:line="360" w:lineRule="auto"/>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2、废气管控</w:t>
            </w:r>
          </w:p>
          <w:p>
            <w:pPr>
              <w:spacing w:line="360" w:lineRule="auto"/>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办公现场基本无废气排放。</w:t>
            </w:r>
          </w:p>
          <w:p>
            <w:pPr>
              <w:spacing w:line="360" w:lineRule="auto"/>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3、噪声管控</w:t>
            </w:r>
          </w:p>
          <w:p>
            <w:pPr>
              <w:spacing w:line="360" w:lineRule="auto"/>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办公噪声主要是复印机运行，噪声较低，采取措施按时清洁保养。</w:t>
            </w:r>
          </w:p>
          <w:p>
            <w:pPr>
              <w:spacing w:line="360" w:lineRule="auto"/>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4、固废管控</w:t>
            </w:r>
          </w:p>
          <w:p>
            <w:pPr>
              <w:spacing w:line="360" w:lineRule="auto"/>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主要为生活垃圾，</w:t>
            </w:r>
            <w:r>
              <w:rPr>
                <w:rFonts w:hint="eastAsia" w:asciiTheme="minorEastAsia" w:hAnsiTheme="minorEastAsia" w:eastAsiaTheme="minorEastAsia" w:cstheme="minorEastAsia"/>
                <w:szCs w:val="21"/>
                <w:lang w:eastAsia="zh-CN"/>
              </w:rPr>
              <w:t>行政部</w:t>
            </w:r>
            <w:r>
              <w:rPr>
                <w:rFonts w:hint="eastAsia" w:asciiTheme="minorEastAsia" w:hAnsiTheme="minorEastAsia" w:eastAsiaTheme="minorEastAsia" w:cstheme="minorEastAsia"/>
                <w:szCs w:val="21"/>
              </w:rPr>
              <w:t>有垃圾篓集中倒入垃圾站由市政环卫运送至统一地点集中处理。</w:t>
            </w:r>
          </w:p>
          <w:p>
            <w:pPr>
              <w:numPr>
                <w:ilvl w:val="0"/>
                <w:numId w:val="1"/>
              </w:numPr>
              <w:spacing w:line="360" w:lineRule="auto"/>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能源资源管控</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销售过程注意节水、节电、节油，人走关闭开关，现场采用声控节能灯，未发现有漏水和浪费电能的现象。</w:t>
            </w:r>
          </w:p>
          <w:p>
            <w:pPr>
              <w:spacing w:line="360" w:lineRule="auto"/>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6、潜在火灾管控</w:t>
            </w:r>
          </w:p>
          <w:p>
            <w:pPr>
              <w:spacing w:line="360" w:lineRule="auto"/>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公司办公配备有灭火栓、灭火器，消防通道畅通，每半年有检查，符合要求。</w:t>
            </w:r>
          </w:p>
          <w:p>
            <w:pPr>
              <w:spacing w:line="360" w:lineRule="auto"/>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7、环境防护</w:t>
            </w:r>
          </w:p>
          <w:p>
            <w:pPr>
              <w:spacing w:line="360" w:lineRule="auto"/>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公司给员工发放口罩等劳保用品。</w:t>
            </w:r>
          </w:p>
          <w:p>
            <w:pPr>
              <w:spacing w:line="360" w:lineRule="auto"/>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8、为关键长期员工上社保。</w:t>
            </w:r>
          </w:p>
        </w:tc>
        <w:tc>
          <w:tcPr>
            <w:tcW w:w="753"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60"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绩效测量和监视</w:t>
            </w:r>
          </w:p>
        </w:tc>
        <w:tc>
          <w:tcPr>
            <w:tcW w:w="1111"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pPr>
              <w:spacing w:line="360" w:lineRule="auto"/>
              <w:rPr>
                <w:rFonts w:asciiTheme="minorEastAsia" w:hAnsiTheme="minorEastAsia" w:eastAsiaTheme="minorEastAsia" w:cstheme="minorEastAsia"/>
                <w:szCs w:val="21"/>
              </w:rPr>
            </w:pPr>
          </w:p>
        </w:tc>
        <w:tc>
          <w:tcPr>
            <w:tcW w:w="11585" w:type="dxa"/>
            <w:vAlign w:val="center"/>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 、《管理评审控制程序》 和《</w:t>
            </w:r>
            <w:r>
              <w:rPr>
                <w:rFonts w:hint="eastAsia" w:asciiTheme="minorEastAsia" w:hAnsiTheme="minorEastAsia" w:eastAsiaTheme="minorEastAsia" w:cstheme="minorEastAsia"/>
                <w:szCs w:val="21"/>
                <w:lang w:eastAsia="zh-CN"/>
              </w:rPr>
              <w:t>环境运行控制程序</w:t>
            </w:r>
            <w:r>
              <w:rPr>
                <w:rFonts w:hint="eastAsia" w:asciiTheme="minorEastAsia" w:hAnsiTheme="minorEastAsia" w:eastAsiaTheme="minorEastAsia" w:cstheme="minorEastAsia"/>
                <w:szCs w:val="21"/>
              </w:rPr>
              <w:t>》为保证公司质量管理体系的有效运行，通过对管理绩效的监视与测量，确保体系运行的有效性。</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查阅“部门目标策划及考核记录表”，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提供管理目标指标的检查考核工作，均完成目标考核要求。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查阅“环境和职业健康安全目标指标完成情况检查表”，体系建立至今共进行的管理目标指标的检查考核工作，均完成目标考核要求。</w:t>
            </w:r>
          </w:p>
          <w:p>
            <w:pPr>
              <w:spacing w:line="360" w:lineRule="auto"/>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环境运行管理检查情况：抽查</w:t>
            </w:r>
            <w:r>
              <w:rPr>
                <w:rFonts w:hint="eastAsia" w:asciiTheme="minorEastAsia" w:hAnsiTheme="minorEastAsia" w:eastAsiaTheme="minorEastAsia" w:cstheme="minorEastAsia"/>
                <w:szCs w:val="21"/>
                <w:lang w:val="en-US" w:eastAsia="zh-CN"/>
              </w:rPr>
              <w:t>2021.8.26、2022.3.21、2022.7.5</w:t>
            </w:r>
            <w:r>
              <w:rPr>
                <w:rFonts w:hint="eastAsia" w:asciiTheme="minorEastAsia" w:hAnsiTheme="minorEastAsia" w:eastAsiaTheme="minorEastAsia" w:cstheme="minorEastAsia"/>
                <w:szCs w:val="21"/>
              </w:rPr>
              <w:t>管理检查记录，主控部门：</w:t>
            </w:r>
            <w:r>
              <w:rPr>
                <w:rFonts w:hint="eastAsia" w:asciiTheme="minorEastAsia" w:hAnsiTheme="minorEastAsia" w:eastAsiaTheme="minorEastAsia" w:cstheme="minorEastAsia"/>
                <w:szCs w:val="21"/>
                <w:lang w:eastAsia="zh-CN"/>
              </w:rPr>
              <w:t>行政部</w:t>
            </w:r>
            <w:r>
              <w:rPr>
                <w:rFonts w:hint="eastAsia" w:asciiTheme="minorEastAsia" w:hAnsiTheme="minorEastAsia" w:eastAsiaTheme="minorEastAsia" w:cstheme="minorEastAsia"/>
                <w:szCs w:val="21"/>
              </w:rPr>
              <w:t>，检查人：</w:t>
            </w:r>
            <w:r>
              <w:rPr>
                <w:rFonts w:hint="eastAsia" w:asciiTheme="minorEastAsia" w:hAnsiTheme="minorEastAsia" w:eastAsiaTheme="minorEastAsia" w:cstheme="minorEastAsia"/>
                <w:szCs w:val="21"/>
                <w:lang w:eastAsia="zh-CN"/>
              </w:rPr>
              <w:t>杨杰</w:t>
            </w:r>
            <w:r>
              <w:rPr>
                <w:rFonts w:hint="eastAsia" w:asciiTheme="minorEastAsia" w:hAnsiTheme="minorEastAsia" w:eastAsiaTheme="minorEastAsia" w:cstheme="minorEastAsia"/>
                <w:szCs w:val="21"/>
              </w:rPr>
              <w:t>，对固废收集、节约能源等方面进行检查、劳保用品发放、安全管理进行检查，一切正常。</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查公司每月为员工购买有养老等保险，提供保险单。</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外部对公司环境和安全管理要求一般口头交流；对供应商及客户等相关方有“相关方告知书”等。</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753"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2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管理评审</w:t>
            </w:r>
          </w:p>
        </w:tc>
        <w:tc>
          <w:tcPr>
            <w:tcW w:w="1111"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9.3</w:t>
            </w:r>
          </w:p>
        </w:tc>
        <w:tc>
          <w:tcPr>
            <w:tcW w:w="11585" w:type="dxa"/>
            <w:vAlign w:val="center"/>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公司依据：GB/T24001-2016标准进行管理评审。</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目前按标准要求平稳运行，至今暂无变更情况发生。</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查阅公司管理评审资料：</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一、管理评审计划，评审时间：</w:t>
            </w:r>
            <w:r>
              <w:rPr>
                <w:rFonts w:hint="eastAsia" w:asciiTheme="minorEastAsia" w:hAnsiTheme="minorEastAsia" w:eastAsiaTheme="minorEastAsia" w:cstheme="minorEastAsia"/>
                <w:szCs w:val="21"/>
                <w:lang w:eastAsia="zh-CN"/>
              </w:rPr>
              <w:t>202</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30</w:t>
            </w:r>
            <w:r>
              <w:rPr>
                <w:rFonts w:hint="eastAsia" w:asciiTheme="minorEastAsia" w:hAnsiTheme="minorEastAsia" w:eastAsiaTheme="minorEastAsia" w:cstheme="minorEastAsia"/>
                <w:szCs w:val="21"/>
              </w:rPr>
              <w:t>日评审方式：会议评审</w:t>
            </w:r>
          </w:p>
          <w:p>
            <w:pPr>
              <w:spacing w:line="360" w:lineRule="auto"/>
            </w:pPr>
            <w:r>
              <w:rPr>
                <w:rFonts w:hint="eastAsia" w:asciiTheme="minorEastAsia" w:hAnsiTheme="minorEastAsia" w:eastAsiaTheme="minorEastAsia" w:cstheme="minorEastAsia"/>
                <w:szCs w:val="21"/>
              </w:rPr>
              <w:t>参加人员：总经理</w:t>
            </w:r>
            <w:r>
              <w:rPr>
                <w:rFonts w:hint="eastAsia" w:eastAsiaTheme="minorEastAsia"/>
                <w:lang w:eastAsia="zh-CN"/>
              </w:rPr>
              <w:t>吕珂玲</w:t>
            </w:r>
            <w:r>
              <w:rPr>
                <w:rFonts w:hint="eastAsia" w:asciiTheme="minorEastAsia" w:hAnsiTheme="minorEastAsia" w:eastAsiaTheme="minorEastAsia" w:cstheme="minorEastAsia"/>
                <w:szCs w:val="21"/>
              </w:rPr>
              <w:t>、管理者代表</w:t>
            </w:r>
            <w:r>
              <w:rPr>
                <w:rFonts w:hint="eastAsia" w:asciiTheme="minorEastAsia" w:hAnsiTheme="minorEastAsia" w:eastAsiaTheme="minorEastAsia" w:cstheme="minorEastAsia"/>
                <w:szCs w:val="21"/>
                <w:lang w:eastAsia="zh-CN"/>
              </w:rPr>
              <w:t>杨杰</w:t>
            </w:r>
            <w:r>
              <w:rPr>
                <w:rFonts w:hint="eastAsia" w:asciiTheme="minorEastAsia" w:hAnsiTheme="minorEastAsia" w:eastAsiaTheme="minorEastAsia" w:cstheme="minorEastAsia"/>
                <w:szCs w:val="21"/>
              </w:rPr>
              <w:t>、其他人员有：</w:t>
            </w:r>
            <w:r>
              <w:rPr>
                <w:rFonts w:hint="eastAsia"/>
              </w:rPr>
              <w:t>张斌、梁微</w:t>
            </w:r>
            <w:r>
              <w:rPr>
                <w:rFonts w:hint="eastAsia" w:asciiTheme="minorEastAsia" w:hAnsiTheme="minorEastAsia" w:eastAsiaTheme="minorEastAsia" w:cstheme="minorEastAsia"/>
                <w:szCs w:val="21"/>
              </w:rPr>
              <w:t>等。计划中明确了评审内容和资料准备要求。</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二、管理评审输入：</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方针目标适宜性、目标的实现程度、体系策划和运行情况、可能的变更、外部供方的绩效、内审情况、纠正措施完成情况，应对风险和机遇所采取措施的有效性以及改进的建议等等。</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以上内容可通过会上口头发言及工作总结、汇报等形式体现。</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三、查看“管理评审报告”，报告中对本次管理评审做了总结，评价了公司建立、运行管理体系的效果。</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四、管理评审输出/评审结论：</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会议认为：公司的环境方针和环境目标、指标及环境管理体系符合标准的要求和公司的实际情况，是适宜的；各过程得到识别和规定，过程的开展是充分的，机构设置、职责分配、资源配置基本合理；实施体系标准以来，公司的环境控制和顾客满意程度得以提高，环境管理体系总体上来说是有效的。存在的问题和薄弱环节应该持续进行改进，以确保公司环境管理体系的适宜性、充分性和有效性。</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管理评审改进决议：</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在质量管理体系推行运作时，管理体系推行还存在不少待改进之处，主要有以下几点：</w:t>
            </w:r>
          </w:p>
          <w:p>
            <w:pPr>
              <w:spacing w:line="360" w:lineRule="auto"/>
              <w:ind w:firstLine="420" w:firstLineChars="200"/>
              <w:rPr>
                <w:rFonts w:asciiTheme="minorEastAsia" w:hAnsiTheme="minorEastAsia" w:eastAsiaTheme="minorEastAsia" w:cstheme="minorEastAsia"/>
                <w:szCs w:val="21"/>
              </w:rPr>
            </w:pPr>
            <w:r>
              <w:rPr>
                <w:rFonts w:hint="eastAsia"/>
                <w:color w:val="000000"/>
              </w:rPr>
              <w:t>环境信息的交流开展得不充分，行政部应加强这方面的工作</w:t>
            </w:r>
            <w:r>
              <w:rPr>
                <w:rFonts w:hint="eastAsia" w:asciiTheme="minorEastAsia" w:hAnsiTheme="minorEastAsia" w:eastAsiaTheme="minorEastAsia" w:cstheme="minorEastAsia"/>
                <w:szCs w:val="21"/>
              </w:rPr>
              <w:t>。计划</w:t>
            </w:r>
            <w:r>
              <w:rPr>
                <w:rFonts w:hint="eastAsia" w:asciiTheme="minorEastAsia" w:hAnsiTheme="minorEastAsia" w:eastAsiaTheme="minorEastAsia" w:cstheme="minorEastAsia"/>
                <w:szCs w:val="21"/>
                <w:lang w:eastAsia="zh-CN"/>
              </w:rPr>
              <w:t>202</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年12月底前完成，下次审核关注。</w:t>
            </w:r>
          </w:p>
        </w:tc>
        <w:tc>
          <w:tcPr>
            <w:tcW w:w="753"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260"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体系的运行现状及改进的要求</w:t>
            </w:r>
          </w:p>
        </w:tc>
        <w:tc>
          <w:tcPr>
            <w:tcW w:w="1111"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10.1</w:t>
            </w:r>
          </w:p>
        </w:tc>
        <w:tc>
          <w:tcPr>
            <w:tcW w:w="11585" w:type="dxa"/>
            <w:vAlign w:val="center"/>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总经理通过建立管理方针和目标，并鼓励员工提合理化建议，营造了一个激励改进的氛围，通过管理目标的建立与考核，明确了改进、努力的方向。</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企业自体系建立以来，通过内审的改进、管理评审；纠正措施的实施、顾客满意度调查等措施，采取了具体的改进措施。</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通过提高销售服务以满足需求，通过内审、管理评审、数据分析与实施纠正和纠正措施，建立一个自我完善、持续改进的机制，不断改进体系绩效和有效性。</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基本符合要求。</w:t>
            </w:r>
          </w:p>
        </w:tc>
        <w:tc>
          <w:tcPr>
            <w:tcW w:w="753"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260" w:type="dxa"/>
          </w:tcPr>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持续改进</w:t>
            </w:r>
          </w:p>
        </w:tc>
        <w:tc>
          <w:tcPr>
            <w:tcW w:w="1111" w:type="dxa"/>
          </w:tcPr>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10.3</w:t>
            </w:r>
          </w:p>
        </w:tc>
        <w:tc>
          <w:tcPr>
            <w:tcW w:w="11585" w:type="dxa"/>
            <w:vAlign w:val="center"/>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w:t>
            </w:r>
            <w:r>
              <w:rPr>
                <w:rFonts w:hint="eastAsia" w:asciiTheme="minorEastAsia" w:hAnsiTheme="minorEastAsia" w:eastAsiaTheme="minorEastAsia" w:cstheme="minorEastAsia"/>
                <w:szCs w:val="21"/>
                <w:lang w:eastAsia="zh-CN"/>
              </w:rPr>
              <w:t>不符合和纠正措施程序</w:t>
            </w:r>
            <w:r>
              <w:rPr>
                <w:rFonts w:hint="eastAsia" w:asciiTheme="minorEastAsia" w:hAnsiTheme="minorEastAsia" w:eastAsiaTheme="minorEastAsia" w:cstheme="minorEastAsia"/>
                <w:szCs w:val="21"/>
              </w:rPr>
              <w:t>》，规定了纠正措施的来源,明确了对不合格项应进行原因分析,制定纠正措施计划,实施跟踪验证,确保所采取 的纠正措施满足预期要求。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内审中发现的不符合项已经采取纠正措施，整改完毕且有效。</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通过交谈，基本能清楚纠正和预防措施的控制要求。改进的示例包括纠正、纠正措施、持续改进。</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根据不同过程、不同产品和不同要求，采取不同的方法进行监视、测量和分析。无其他不符合发生。</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公司利用质量方针、目标、内审和外审、数据分析、纠正和预防措施以及管理评审，识别任何改进的机会，持续改进质量管理体系的适宜性、充分性和有效性。</w:t>
            </w:r>
          </w:p>
          <w:p>
            <w:pPr>
              <w:spacing w:line="360" w:lineRule="auto"/>
              <w:ind w:firstLine="420" w:firstLineChars="200"/>
              <w:rPr>
                <w:rFonts w:asciiTheme="minorEastAsia" w:hAnsiTheme="minorEastAsia" w:eastAsiaTheme="minorEastAsia" w:cstheme="minorEastAsia"/>
                <w:szCs w:val="21"/>
              </w:rPr>
            </w:pP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资质验证  企业提供营业执照,企业资质在范围内(见附件)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投诉或事故:无</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政府主管部门监督抽查情况:无</w:t>
            </w:r>
          </w:p>
        </w:tc>
        <w:tc>
          <w:tcPr>
            <w:tcW w:w="753"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260" w:type="dxa"/>
            <w:vAlign w:val="center"/>
          </w:tcPr>
          <w:p>
            <w:pPr>
              <w:rPr>
                <w:rFonts w:hint="eastAsia" w:asciiTheme="minorEastAsia" w:hAnsiTheme="minorEastAsia" w:eastAsiaTheme="minorEastAsia" w:cstheme="minorEastAsia"/>
                <w:szCs w:val="21"/>
              </w:rPr>
            </w:pPr>
            <w:r>
              <w:rPr>
                <w:rFonts w:hint="eastAsia"/>
                <w:sz w:val="21"/>
                <w:szCs w:val="21"/>
              </w:rPr>
              <w:t>对</w:t>
            </w:r>
            <w:r>
              <w:rPr>
                <w:rFonts w:hint="eastAsia"/>
                <w:sz w:val="21"/>
                <w:szCs w:val="21"/>
                <w:lang w:val="en-US" w:eastAsia="zh-CN"/>
              </w:rPr>
              <w:t>上次审核</w:t>
            </w:r>
            <w:r>
              <w:rPr>
                <w:rFonts w:hint="eastAsia"/>
                <w:sz w:val="21"/>
                <w:szCs w:val="21"/>
              </w:rPr>
              <w:t>问题整改情况的确认；</w:t>
            </w:r>
          </w:p>
        </w:tc>
        <w:tc>
          <w:tcPr>
            <w:tcW w:w="1111" w:type="dxa"/>
            <w:vAlign w:val="center"/>
          </w:tcPr>
          <w:p>
            <w:pPr>
              <w:rPr>
                <w:rFonts w:hint="eastAsia" w:asciiTheme="minorEastAsia" w:hAnsiTheme="minorEastAsia" w:eastAsiaTheme="minorEastAsia" w:cstheme="minorEastAsia"/>
                <w:szCs w:val="21"/>
              </w:rPr>
            </w:pPr>
          </w:p>
        </w:tc>
        <w:tc>
          <w:tcPr>
            <w:tcW w:w="11585" w:type="dxa"/>
            <w:vAlign w:val="center"/>
          </w:tcPr>
          <w:p>
            <w:pPr>
              <w:spacing w:line="360" w:lineRule="auto"/>
              <w:rPr>
                <w:rFonts w:hint="eastAsia" w:asciiTheme="minorEastAsia" w:hAnsiTheme="minorEastAsia" w:eastAsiaTheme="minorEastAsia" w:cstheme="minorEastAsia"/>
                <w:szCs w:val="21"/>
              </w:rPr>
            </w:pPr>
            <w:r>
              <w:rPr>
                <w:rFonts w:hint="eastAsia" w:ascii="宋体" w:hAnsi="宋体"/>
                <w:color w:val="000000" w:themeColor="text1"/>
                <w:szCs w:val="21"/>
                <w:lang w:val="en-US" w:eastAsia="zh-CN"/>
              </w:rPr>
              <w:t>2021年</w:t>
            </w:r>
            <w:r>
              <w:rPr>
                <w:rFonts w:hint="eastAsia" w:ascii="宋体" w:hAnsi="宋体"/>
                <w:color w:val="000000" w:themeColor="text1"/>
                <w:szCs w:val="21"/>
              </w:rPr>
              <w:t>审核时发现的问题，经现场验证已关闭，整改措施有效。</w:t>
            </w:r>
          </w:p>
        </w:tc>
        <w:tc>
          <w:tcPr>
            <w:tcW w:w="753"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260" w:type="dxa"/>
            <w:vAlign w:val="center"/>
          </w:tcPr>
          <w:p>
            <w:pPr>
              <w:rPr>
                <w:rFonts w:hint="eastAsia" w:asciiTheme="minorEastAsia" w:hAnsiTheme="minorEastAsia" w:eastAsiaTheme="minorEastAsia" w:cstheme="minorEastAsia"/>
                <w:szCs w:val="21"/>
              </w:rPr>
            </w:pPr>
            <w:r>
              <w:rPr>
                <w:rFonts w:hint="eastAsia"/>
                <w:sz w:val="21"/>
                <w:szCs w:val="21"/>
              </w:rPr>
              <w:t>事故事件及起处理情况，环境安全监测情况、使用情况等</w:t>
            </w:r>
            <w:r>
              <w:rPr>
                <w:rFonts w:hint="eastAsia"/>
                <w:sz w:val="21"/>
                <w:szCs w:val="21"/>
                <w:lang w:eastAsia="zh-CN"/>
              </w:rPr>
              <w:t>，</w:t>
            </w:r>
          </w:p>
        </w:tc>
        <w:tc>
          <w:tcPr>
            <w:tcW w:w="1111" w:type="dxa"/>
            <w:vAlign w:val="center"/>
          </w:tcPr>
          <w:p>
            <w:pPr>
              <w:rPr>
                <w:rFonts w:hint="eastAsia" w:asciiTheme="minorEastAsia" w:hAnsiTheme="minorEastAsia" w:eastAsiaTheme="minorEastAsia" w:cstheme="minorEastAsia"/>
                <w:szCs w:val="21"/>
              </w:rPr>
            </w:pPr>
          </w:p>
        </w:tc>
        <w:tc>
          <w:tcPr>
            <w:tcW w:w="11585" w:type="dxa"/>
            <w:vAlign w:val="center"/>
          </w:tcPr>
          <w:p>
            <w:pPr>
              <w:spacing w:line="360" w:lineRule="auto"/>
            </w:pPr>
            <w:r>
              <w:rPr>
                <w:rFonts w:hint="eastAsia"/>
              </w:rPr>
              <w:t>自公司成立以来，未受到上级主管部门有关质量、环境问题、职业健康安全的行政处罚。未发生相关方的投诉。</w:t>
            </w:r>
          </w:p>
          <w:p>
            <w:pPr>
              <w:spacing w:line="360" w:lineRule="auto"/>
              <w:rPr>
                <w:rFonts w:hint="eastAsia"/>
              </w:rPr>
            </w:pPr>
            <w:r>
              <w:rPr>
                <w:rFonts w:hint="eastAsia"/>
              </w:rPr>
              <w:t>目前没有相关行政主管部门的检查处罚，在审核现场也未发现抽查、相关方投诉等情况。</w:t>
            </w:r>
          </w:p>
          <w:p>
            <w:pPr>
              <w:pStyle w:val="2"/>
              <w:rPr>
                <w:rFonts w:hint="eastAsia" w:asciiTheme="minorEastAsia" w:hAnsiTheme="minorEastAsia" w:eastAsiaTheme="minorEastAsia" w:cstheme="minorEastAsia"/>
                <w:szCs w:val="21"/>
              </w:rPr>
            </w:pPr>
            <w:r>
              <w:rPr>
                <w:rFonts w:hint="eastAsia"/>
                <w:lang w:val="en-US" w:eastAsia="zh-CN"/>
              </w:rPr>
              <w:t>抽查了企业在证书有效期三年内，未发现违规使用证书、标志的情况发生。</w:t>
            </w:r>
          </w:p>
        </w:tc>
        <w:tc>
          <w:tcPr>
            <w:tcW w:w="753" w:type="dxa"/>
          </w:tcPr>
          <w:p>
            <w:pPr>
              <w:spacing w:line="360" w:lineRule="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bl>
    <w:p>
      <w:r>
        <w:ptab w:relativeTo="margin" w:alignment="center" w:leader="none"/>
      </w:r>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38A8C"/>
    <w:multiLevelType w:val="singleLevel"/>
    <w:tmpl w:val="33638A8C"/>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JhMzVmMjRhOTI3NTFjNmRlYmM5YzA2NWZhNjBiZTEifQ=="/>
  </w:docVars>
  <w:rsids>
    <w:rsidRoot w:val="009973B4"/>
    <w:rsid w:val="000237F6"/>
    <w:rsid w:val="0003373A"/>
    <w:rsid w:val="001A2D7F"/>
    <w:rsid w:val="00337922"/>
    <w:rsid w:val="00340867"/>
    <w:rsid w:val="00380837"/>
    <w:rsid w:val="003A198A"/>
    <w:rsid w:val="00410914"/>
    <w:rsid w:val="00414469"/>
    <w:rsid w:val="00536930"/>
    <w:rsid w:val="00564E53"/>
    <w:rsid w:val="00644FE2"/>
    <w:rsid w:val="0067640C"/>
    <w:rsid w:val="006E678B"/>
    <w:rsid w:val="007757F3"/>
    <w:rsid w:val="007E6AEB"/>
    <w:rsid w:val="008401A5"/>
    <w:rsid w:val="00861F11"/>
    <w:rsid w:val="008973EE"/>
    <w:rsid w:val="008E5CA5"/>
    <w:rsid w:val="00971600"/>
    <w:rsid w:val="009973B4"/>
    <w:rsid w:val="009C28C1"/>
    <w:rsid w:val="009F7EED"/>
    <w:rsid w:val="00AF0AAB"/>
    <w:rsid w:val="00BF597E"/>
    <w:rsid w:val="00C51A36"/>
    <w:rsid w:val="00C55228"/>
    <w:rsid w:val="00CE315A"/>
    <w:rsid w:val="00CE7B89"/>
    <w:rsid w:val="00CF45EE"/>
    <w:rsid w:val="00D06F59"/>
    <w:rsid w:val="00D8388C"/>
    <w:rsid w:val="00EB0164"/>
    <w:rsid w:val="00ED0F62"/>
    <w:rsid w:val="00FB6645"/>
    <w:rsid w:val="02561596"/>
    <w:rsid w:val="02905FAB"/>
    <w:rsid w:val="03056749"/>
    <w:rsid w:val="03516B68"/>
    <w:rsid w:val="05072AD8"/>
    <w:rsid w:val="051B12D0"/>
    <w:rsid w:val="05301C9E"/>
    <w:rsid w:val="059A554E"/>
    <w:rsid w:val="075B691E"/>
    <w:rsid w:val="077424A2"/>
    <w:rsid w:val="07D05C90"/>
    <w:rsid w:val="080F49BC"/>
    <w:rsid w:val="08AB2D38"/>
    <w:rsid w:val="08B35B8F"/>
    <w:rsid w:val="0A733822"/>
    <w:rsid w:val="0A76049B"/>
    <w:rsid w:val="0AA063EB"/>
    <w:rsid w:val="0ACF24C8"/>
    <w:rsid w:val="0BC016C1"/>
    <w:rsid w:val="0D822467"/>
    <w:rsid w:val="0DB53049"/>
    <w:rsid w:val="0EB70AFB"/>
    <w:rsid w:val="0EE47261"/>
    <w:rsid w:val="0F016E6A"/>
    <w:rsid w:val="0F4C3CF6"/>
    <w:rsid w:val="0F7A3E4E"/>
    <w:rsid w:val="0FAE6A3F"/>
    <w:rsid w:val="103535C8"/>
    <w:rsid w:val="108219C2"/>
    <w:rsid w:val="11027F34"/>
    <w:rsid w:val="111E0625"/>
    <w:rsid w:val="11612D9B"/>
    <w:rsid w:val="1178096B"/>
    <w:rsid w:val="117E03E3"/>
    <w:rsid w:val="11DD2155"/>
    <w:rsid w:val="1281369B"/>
    <w:rsid w:val="12866648"/>
    <w:rsid w:val="137C4892"/>
    <w:rsid w:val="143B3242"/>
    <w:rsid w:val="14E704E5"/>
    <w:rsid w:val="14EF4369"/>
    <w:rsid w:val="1506722E"/>
    <w:rsid w:val="156B5C0B"/>
    <w:rsid w:val="15F242B8"/>
    <w:rsid w:val="16570580"/>
    <w:rsid w:val="16A161AD"/>
    <w:rsid w:val="17905CED"/>
    <w:rsid w:val="18314AE8"/>
    <w:rsid w:val="189B757B"/>
    <w:rsid w:val="1A3D625A"/>
    <w:rsid w:val="1AE63B2D"/>
    <w:rsid w:val="1D8955CB"/>
    <w:rsid w:val="1DD02468"/>
    <w:rsid w:val="1E4B58A2"/>
    <w:rsid w:val="1F7B12A5"/>
    <w:rsid w:val="1F8F7BF5"/>
    <w:rsid w:val="2006717B"/>
    <w:rsid w:val="202A1006"/>
    <w:rsid w:val="20835883"/>
    <w:rsid w:val="214E67BA"/>
    <w:rsid w:val="22C86ECF"/>
    <w:rsid w:val="23250882"/>
    <w:rsid w:val="23277943"/>
    <w:rsid w:val="23B83E1D"/>
    <w:rsid w:val="23C546A2"/>
    <w:rsid w:val="24105D3D"/>
    <w:rsid w:val="24402D36"/>
    <w:rsid w:val="24975D3F"/>
    <w:rsid w:val="24A15322"/>
    <w:rsid w:val="254501C0"/>
    <w:rsid w:val="26B62FAA"/>
    <w:rsid w:val="26E84B39"/>
    <w:rsid w:val="290A2CCA"/>
    <w:rsid w:val="2924107C"/>
    <w:rsid w:val="29966FCF"/>
    <w:rsid w:val="29F41280"/>
    <w:rsid w:val="29F5053A"/>
    <w:rsid w:val="2A877CA2"/>
    <w:rsid w:val="2AF56B7B"/>
    <w:rsid w:val="2B18314B"/>
    <w:rsid w:val="2B986BF5"/>
    <w:rsid w:val="2C154BC2"/>
    <w:rsid w:val="2C2758D3"/>
    <w:rsid w:val="2C7350E0"/>
    <w:rsid w:val="2FEA3FBD"/>
    <w:rsid w:val="2FF63FA8"/>
    <w:rsid w:val="30041147"/>
    <w:rsid w:val="30B21281"/>
    <w:rsid w:val="32445E5A"/>
    <w:rsid w:val="32847649"/>
    <w:rsid w:val="334D0890"/>
    <w:rsid w:val="33ED121E"/>
    <w:rsid w:val="341D4CD5"/>
    <w:rsid w:val="34327602"/>
    <w:rsid w:val="34A61CC3"/>
    <w:rsid w:val="35C624D3"/>
    <w:rsid w:val="36E16C0F"/>
    <w:rsid w:val="37BA7AD7"/>
    <w:rsid w:val="38277DAF"/>
    <w:rsid w:val="38E16C80"/>
    <w:rsid w:val="39DF6321"/>
    <w:rsid w:val="3A3A0D76"/>
    <w:rsid w:val="3A4A193A"/>
    <w:rsid w:val="3A61549C"/>
    <w:rsid w:val="3ADF3238"/>
    <w:rsid w:val="3C060909"/>
    <w:rsid w:val="3C064FC9"/>
    <w:rsid w:val="3C3914DF"/>
    <w:rsid w:val="3C572BF9"/>
    <w:rsid w:val="3CE267FD"/>
    <w:rsid w:val="3D811CCF"/>
    <w:rsid w:val="3DBC0C92"/>
    <w:rsid w:val="3E3E6E6C"/>
    <w:rsid w:val="3E4D3C7C"/>
    <w:rsid w:val="3E842275"/>
    <w:rsid w:val="3E931B78"/>
    <w:rsid w:val="3F682ADC"/>
    <w:rsid w:val="3F820939"/>
    <w:rsid w:val="3FD22E54"/>
    <w:rsid w:val="3FE32053"/>
    <w:rsid w:val="417D2A96"/>
    <w:rsid w:val="41BA7498"/>
    <w:rsid w:val="41D103D1"/>
    <w:rsid w:val="4273217E"/>
    <w:rsid w:val="428C2F2E"/>
    <w:rsid w:val="43486471"/>
    <w:rsid w:val="44090091"/>
    <w:rsid w:val="4431700D"/>
    <w:rsid w:val="44512A1B"/>
    <w:rsid w:val="44926B19"/>
    <w:rsid w:val="457621F3"/>
    <w:rsid w:val="45794131"/>
    <w:rsid w:val="45DD462C"/>
    <w:rsid w:val="46A07FE7"/>
    <w:rsid w:val="46BC3555"/>
    <w:rsid w:val="47281D90"/>
    <w:rsid w:val="480D2A22"/>
    <w:rsid w:val="48427D12"/>
    <w:rsid w:val="48517B76"/>
    <w:rsid w:val="49991B7D"/>
    <w:rsid w:val="4A5D6C22"/>
    <w:rsid w:val="4B1B4393"/>
    <w:rsid w:val="4DB546F4"/>
    <w:rsid w:val="4E012630"/>
    <w:rsid w:val="4E650BB7"/>
    <w:rsid w:val="4E6B7EC1"/>
    <w:rsid w:val="4E8F65FF"/>
    <w:rsid w:val="4F064E15"/>
    <w:rsid w:val="4F376868"/>
    <w:rsid w:val="4F6C2A52"/>
    <w:rsid w:val="4FA83182"/>
    <w:rsid w:val="4FCE1167"/>
    <w:rsid w:val="50047BC4"/>
    <w:rsid w:val="500E60D8"/>
    <w:rsid w:val="51AB1A03"/>
    <w:rsid w:val="5359055D"/>
    <w:rsid w:val="54A26B7B"/>
    <w:rsid w:val="54F02029"/>
    <w:rsid w:val="54F07714"/>
    <w:rsid w:val="56B42B4A"/>
    <w:rsid w:val="56FF3E18"/>
    <w:rsid w:val="57CA5A63"/>
    <w:rsid w:val="58CC3B54"/>
    <w:rsid w:val="58DF76EE"/>
    <w:rsid w:val="594A480D"/>
    <w:rsid w:val="59594A08"/>
    <w:rsid w:val="59A239D8"/>
    <w:rsid w:val="59F45004"/>
    <w:rsid w:val="5B5803AC"/>
    <w:rsid w:val="5C011ECB"/>
    <w:rsid w:val="5C84782F"/>
    <w:rsid w:val="5CF039B6"/>
    <w:rsid w:val="5D420DB6"/>
    <w:rsid w:val="5D435A95"/>
    <w:rsid w:val="5DB2354F"/>
    <w:rsid w:val="5E1A09D3"/>
    <w:rsid w:val="5EA12B9A"/>
    <w:rsid w:val="5EE52C75"/>
    <w:rsid w:val="5F232846"/>
    <w:rsid w:val="5F4B7C0E"/>
    <w:rsid w:val="60527752"/>
    <w:rsid w:val="605B0C85"/>
    <w:rsid w:val="609F2885"/>
    <w:rsid w:val="61D520F5"/>
    <w:rsid w:val="637B1FF1"/>
    <w:rsid w:val="64727826"/>
    <w:rsid w:val="652F3FB0"/>
    <w:rsid w:val="65412805"/>
    <w:rsid w:val="655A5DA5"/>
    <w:rsid w:val="658B36F7"/>
    <w:rsid w:val="65A74E21"/>
    <w:rsid w:val="662C5448"/>
    <w:rsid w:val="66AB551F"/>
    <w:rsid w:val="66B50C1D"/>
    <w:rsid w:val="671C7835"/>
    <w:rsid w:val="67415E27"/>
    <w:rsid w:val="679B349D"/>
    <w:rsid w:val="67CD07F7"/>
    <w:rsid w:val="682054F9"/>
    <w:rsid w:val="68645E27"/>
    <w:rsid w:val="68673177"/>
    <w:rsid w:val="68C62500"/>
    <w:rsid w:val="691B3B5C"/>
    <w:rsid w:val="694458CE"/>
    <w:rsid w:val="6A4C600A"/>
    <w:rsid w:val="6A7C2D67"/>
    <w:rsid w:val="6B8365B5"/>
    <w:rsid w:val="6C5D5CAD"/>
    <w:rsid w:val="6CA562AE"/>
    <w:rsid w:val="6D8A2A33"/>
    <w:rsid w:val="6D9149D0"/>
    <w:rsid w:val="6DB0052D"/>
    <w:rsid w:val="6FC74D07"/>
    <w:rsid w:val="6FD81D27"/>
    <w:rsid w:val="6FE67E7E"/>
    <w:rsid w:val="70041737"/>
    <w:rsid w:val="704214EF"/>
    <w:rsid w:val="71531B61"/>
    <w:rsid w:val="715C411C"/>
    <w:rsid w:val="71AA0808"/>
    <w:rsid w:val="72685795"/>
    <w:rsid w:val="727A2FD1"/>
    <w:rsid w:val="73177BC2"/>
    <w:rsid w:val="733D609C"/>
    <w:rsid w:val="736D79EA"/>
    <w:rsid w:val="73A54D40"/>
    <w:rsid w:val="73CF6789"/>
    <w:rsid w:val="73F54CD8"/>
    <w:rsid w:val="746848B0"/>
    <w:rsid w:val="748E7064"/>
    <w:rsid w:val="74F239A1"/>
    <w:rsid w:val="755C6ECA"/>
    <w:rsid w:val="756954D9"/>
    <w:rsid w:val="7592164A"/>
    <w:rsid w:val="75DA79A3"/>
    <w:rsid w:val="78FF4573"/>
    <w:rsid w:val="793B1AC8"/>
    <w:rsid w:val="797F01F4"/>
    <w:rsid w:val="79903016"/>
    <w:rsid w:val="79A4014B"/>
    <w:rsid w:val="79A95C97"/>
    <w:rsid w:val="7A544A8A"/>
    <w:rsid w:val="7AFB559C"/>
    <w:rsid w:val="7BBC2DB7"/>
    <w:rsid w:val="7C7F0075"/>
    <w:rsid w:val="7CB20B03"/>
    <w:rsid w:val="7DF81159"/>
    <w:rsid w:val="7E564500"/>
    <w:rsid w:val="7F3954F7"/>
    <w:rsid w:val="7F7C2E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816</Words>
  <Characters>4653</Characters>
  <Lines>38</Lines>
  <Paragraphs>10</Paragraphs>
  <TotalTime>0</TotalTime>
  <ScaleCrop>false</ScaleCrop>
  <LinksUpToDate>false</LinksUpToDate>
  <CharactersWithSpaces>5459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2022-08-11T02:32:08Z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1E32F69DC8654CDCBCB9A72F2ABB30AF</vt:lpwstr>
  </property>
</Properties>
</file>