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eastAsia="zh-CN"/>
              </w:rPr>
              <w:t>供销部</w:t>
            </w:r>
            <w:r>
              <w:rPr>
                <w:rFonts w:hint="eastAsia" w:ascii="Times New Roman" w:hAnsi="Times New Roman" w:eastAsia="宋体" w:cs="Times New Roman"/>
                <w:sz w:val="24"/>
                <w:szCs w:val="24"/>
              </w:rPr>
              <w:t xml:space="preserve">   主管领导：</w:t>
            </w:r>
            <w:r>
              <w:rPr>
                <w:rFonts w:hint="eastAsia" w:cs="Times New Roman"/>
                <w:sz w:val="24"/>
                <w:szCs w:val="24"/>
                <w:lang w:eastAsia="zh-CN"/>
              </w:rPr>
              <w:t>杨杰</w:t>
            </w:r>
            <w:r>
              <w:rPr>
                <w:rFonts w:hint="eastAsia" w:ascii="Times New Roman" w:hAnsi="Times New Roman" w:eastAsia="宋体" w:cs="Times New Roman"/>
                <w:sz w:val="24"/>
                <w:szCs w:val="24"/>
              </w:rPr>
              <w:t xml:space="preserve">     陪同人员：</w:t>
            </w:r>
            <w:r>
              <w:rPr>
                <w:rFonts w:hint="eastAsia" w:cs="Times New Roman"/>
                <w:sz w:val="24"/>
                <w:szCs w:val="24"/>
                <w:lang w:eastAsia="zh-CN"/>
              </w:rPr>
              <w:t>王红</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w:t>
            </w:r>
            <w:r>
              <w:rPr>
                <w:rFonts w:hint="eastAsia"/>
                <w:sz w:val="24"/>
                <w:szCs w:val="24"/>
              </w:rPr>
              <w:t>.</w:t>
            </w:r>
            <w:r>
              <w:rPr>
                <w:rFonts w:hint="eastAsia"/>
                <w:sz w:val="24"/>
                <w:szCs w:val="24"/>
                <w:lang w:val="en-US" w:eastAsia="zh-CN"/>
              </w:rPr>
              <w:t>8.3</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ascii="宋体" w:hAnsi="宋体"/>
                <w:sz w:val="18"/>
              </w:rPr>
            </w:pPr>
            <w:r>
              <w:rPr>
                <w:rFonts w:hint="eastAsia"/>
                <w:sz w:val="24"/>
                <w:szCs w:val="24"/>
              </w:rPr>
              <w:t>审核条款：</w:t>
            </w:r>
          </w:p>
          <w:p>
            <w:pPr>
              <w:spacing w:line="360" w:lineRule="auto"/>
              <w:rPr>
                <w:sz w:val="24"/>
                <w:szCs w:val="24"/>
              </w:rPr>
            </w:pPr>
            <w:r>
              <w:rPr>
                <w:rFonts w:hint="eastAsia"/>
                <w:sz w:val="24"/>
                <w:szCs w:val="24"/>
              </w:rPr>
              <w:t>E:5.3/6.2/6.1.2/8.1/8.2/10.2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szCs w:val="21"/>
              </w:rPr>
              <w:t>组织的岗位、职责权限</w:t>
            </w:r>
          </w:p>
        </w:tc>
        <w:tc>
          <w:tcPr>
            <w:tcW w:w="960" w:type="dxa"/>
          </w:tcPr>
          <w:p>
            <w:pPr>
              <w:spacing w:line="360" w:lineRule="auto"/>
              <w:rPr>
                <w:szCs w:val="21"/>
              </w:rPr>
            </w:pPr>
            <w:r>
              <w:rPr>
                <w:rFonts w:hint="eastAsia"/>
                <w:szCs w:val="21"/>
              </w:rPr>
              <w:t>E5.3</w:t>
            </w:r>
          </w:p>
          <w:p>
            <w:pPr>
              <w:spacing w:line="360" w:lineRule="auto"/>
              <w:rPr>
                <w:szCs w:val="21"/>
              </w:rPr>
            </w:pPr>
          </w:p>
          <w:p>
            <w:pPr>
              <w:spacing w:line="360" w:lineRule="auto"/>
            </w:pPr>
          </w:p>
        </w:tc>
        <w:tc>
          <w:tcPr>
            <w:tcW w:w="10004" w:type="dxa"/>
          </w:tcPr>
          <w:p>
            <w:pPr>
              <w:spacing w:line="360" w:lineRule="auto"/>
              <w:ind w:left="422" w:leftChars="201" w:right="422" w:rightChars="201" w:firstLine="2"/>
              <w:rPr>
                <w:rFonts w:ascii="宋体"/>
                <w:color w:val="000000"/>
                <w:szCs w:val="21"/>
              </w:rPr>
            </w:pPr>
            <w:r>
              <w:rPr>
                <w:rFonts w:ascii="宋体" w:hAnsi="宋体"/>
                <w:color w:val="000000"/>
                <w:szCs w:val="21"/>
              </w:rPr>
              <w:t>1.</w:t>
            </w:r>
            <w:r>
              <w:rPr>
                <w:rFonts w:ascii="宋体" w:hAnsi="宋体"/>
                <w:szCs w:val="21"/>
              </w:rPr>
              <w:t xml:space="preserve"> </w:t>
            </w:r>
            <w:r>
              <w:rPr>
                <w:rFonts w:hint="eastAsia" w:ascii="宋体" w:hAnsi="宋体"/>
                <w:szCs w:val="21"/>
              </w:rPr>
              <w:t>负责本部门所属重要环境因素的管理</w:t>
            </w:r>
          </w:p>
          <w:p>
            <w:pPr>
              <w:spacing w:line="360" w:lineRule="auto"/>
              <w:ind w:left="422" w:leftChars="201" w:right="422" w:rightChars="201" w:firstLine="2"/>
              <w:rPr>
                <w:rFonts w:ascii="宋体"/>
                <w:color w:val="000000"/>
                <w:szCs w:val="21"/>
              </w:rPr>
            </w:pPr>
            <w:r>
              <w:rPr>
                <w:rFonts w:ascii="宋体" w:hAnsi="宋体"/>
                <w:color w:val="000000"/>
                <w:szCs w:val="21"/>
              </w:rPr>
              <w:t>2.</w:t>
            </w:r>
            <w:r>
              <w:rPr>
                <w:rFonts w:ascii="宋体" w:hAnsi="宋体"/>
                <w:szCs w:val="21"/>
              </w:rPr>
              <w:t xml:space="preserve"> </w:t>
            </w:r>
            <w:r>
              <w:rPr>
                <w:rFonts w:hint="eastAsia" w:ascii="宋体" w:hAnsi="宋体"/>
                <w:szCs w:val="21"/>
              </w:rPr>
              <w:t>负责建立并实施客户环境要求内部反馈流程并负责了解顾客有关环境方面的期望及将客户的环境要求有效传递至公司内部并实施。</w:t>
            </w:r>
          </w:p>
          <w:p>
            <w:pPr>
              <w:spacing w:line="360" w:lineRule="auto"/>
              <w:ind w:left="422" w:leftChars="201" w:right="422" w:rightChars="201" w:firstLine="2"/>
              <w:rPr>
                <w:rFonts w:ascii="宋体"/>
                <w:color w:val="000000"/>
                <w:szCs w:val="21"/>
              </w:rPr>
            </w:pPr>
            <w:r>
              <w:rPr>
                <w:rFonts w:ascii="宋体" w:hAnsi="宋体"/>
                <w:color w:val="000000"/>
                <w:szCs w:val="21"/>
              </w:rPr>
              <w:t>3</w:t>
            </w:r>
            <w:r>
              <w:rPr>
                <w:rFonts w:ascii="宋体"/>
                <w:color w:val="000000"/>
                <w:szCs w:val="21"/>
              </w:rPr>
              <w:t>.</w:t>
            </w:r>
            <w:r>
              <w:rPr>
                <w:rFonts w:hint="eastAsia" w:ascii="宋体" w:hAnsi="宋体"/>
                <w:color w:val="000000"/>
                <w:szCs w:val="21"/>
              </w:rPr>
              <w:t>负责部门环境因素识别并执行公司环境管理方案</w:t>
            </w:r>
          </w:p>
          <w:p>
            <w:pPr>
              <w:spacing w:line="360" w:lineRule="auto"/>
              <w:ind w:left="422" w:leftChars="201" w:right="422" w:rightChars="201" w:firstLine="2"/>
              <w:rPr>
                <w:rFonts w:ascii="宋体" w:hAnsi="宋体"/>
                <w:szCs w:val="21"/>
              </w:rPr>
            </w:pPr>
            <w:r>
              <w:rPr>
                <w:rFonts w:hint="eastAsia" w:ascii="宋体" w:hAnsi="宋体"/>
                <w:color w:val="000000"/>
                <w:szCs w:val="21"/>
              </w:rPr>
              <w:t>4</w:t>
            </w:r>
            <w:r>
              <w:rPr>
                <w:rFonts w:ascii="宋体" w:hAnsi="宋体"/>
                <w:color w:val="000000"/>
                <w:szCs w:val="21"/>
              </w:rPr>
              <w:t>.</w:t>
            </w:r>
            <w:r>
              <w:rPr>
                <w:rFonts w:ascii="宋体" w:hAnsi="宋体"/>
                <w:szCs w:val="21"/>
              </w:rPr>
              <w:t xml:space="preserve"> </w:t>
            </w:r>
            <w:r>
              <w:rPr>
                <w:rFonts w:hint="eastAsia" w:ascii="宋体" w:hAnsi="宋体"/>
                <w:szCs w:val="21"/>
              </w:rPr>
              <w:t>负责实施对合格供应商的环境影响和监督检查</w:t>
            </w:r>
          </w:p>
          <w:p>
            <w:pPr>
              <w:spacing w:line="360" w:lineRule="auto"/>
              <w:rPr>
                <w:rFonts w:hint="default" w:eastAsia="宋体"/>
                <w:lang w:val="en-US" w:eastAsia="zh-CN"/>
              </w:rPr>
            </w:pPr>
            <w:r>
              <w:rPr>
                <w:rFonts w:hint="eastAsia"/>
                <w:lang w:val="en-US" w:eastAsia="zh-CN"/>
              </w:rPr>
              <w:t>与供销部负责人沟通，对其职责和权限清楚。</w:t>
            </w:r>
          </w:p>
        </w:tc>
        <w:tc>
          <w:tcPr>
            <w:tcW w:w="1585" w:type="dxa"/>
          </w:tcPr>
          <w:p>
            <w:pPr>
              <w:spacing w:line="360" w:lineRule="auto"/>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szCs w:val="21"/>
              </w:rPr>
              <w:t>目标和方案</w:t>
            </w:r>
          </w:p>
        </w:tc>
        <w:tc>
          <w:tcPr>
            <w:tcW w:w="960" w:type="dxa"/>
          </w:tcPr>
          <w:p>
            <w:pPr>
              <w:spacing w:line="360" w:lineRule="auto"/>
              <w:rPr>
                <w:szCs w:val="21"/>
              </w:rPr>
            </w:pPr>
            <w:r>
              <w:rPr>
                <w:rFonts w:hint="eastAsia"/>
                <w:szCs w:val="21"/>
              </w:rPr>
              <w:t>E6.2</w:t>
            </w:r>
          </w:p>
          <w:p>
            <w:pPr>
              <w:spacing w:line="360" w:lineRule="auto"/>
            </w:pP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执行《管理手册》及《方针目标管理制度》</w:t>
            </w:r>
          </w:p>
          <w:p>
            <w:pPr>
              <w:spacing w:line="360" w:lineRule="auto"/>
              <w:ind w:firstLine="420" w:firstLineChars="200"/>
              <w:rPr>
                <w:rFonts w:ascii="宋体" w:hAnsi="宋体" w:cs="宋体"/>
                <w:szCs w:val="21"/>
              </w:rPr>
            </w:pPr>
            <w:r>
              <w:rPr>
                <w:rFonts w:hint="eastAsia" w:ascii="宋体" w:hAnsi="宋体" w:cs="宋体"/>
                <w:szCs w:val="21"/>
              </w:rPr>
              <w:t>部门目标：                         考核情况</w:t>
            </w:r>
          </w:p>
          <w:p>
            <w:pPr>
              <w:spacing w:line="360" w:lineRule="auto"/>
              <w:ind w:firstLine="420" w:firstLineChars="200"/>
              <w:rPr>
                <w:rFonts w:hint="eastAsia"/>
                <w:szCs w:val="22"/>
              </w:rPr>
            </w:pPr>
            <w:r>
              <w:rPr>
                <w:rFonts w:hint="eastAsia"/>
                <w:szCs w:val="22"/>
              </w:rPr>
              <w:t>劳保用品发放率100%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消防器材完好率100%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固体废物回收率100%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现场火灾爆炸事故控制为零</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为0</w:t>
            </w:r>
          </w:p>
          <w:p>
            <w:pPr>
              <w:spacing w:line="360" w:lineRule="auto"/>
              <w:ind w:firstLine="420" w:firstLineChars="200"/>
              <w:rPr>
                <w:szCs w:val="21"/>
              </w:rPr>
            </w:pPr>
            <w:r>
              <w:rPr>
                <w:rFonts w:hint="eastAsia" w:asciiTheme="minorEastAsia" w:hAnsiTheme="minorEastAsia" w:eastAsiaTheme="minorEastAsia" w:cstheme="minorEastAsia"/>
                <w:szCs w:val="21"/>
                <w:lang w:val="en-US" w:eastAsia="zh-CN"/>
              </w:rPr>
              <w:t>提供2021年12-2022年6月目标完成情况统计表，对目标进行了统计，以上目</w:t>
            </w:r>
            <w:r>
              <w:rPr>
                <w:rFonts w:hint="eastAsia" w:asciiTheme="minorEastAsia" w:hAnsiTheme="minorEastAsia" w:eastAsiaTheme="minorEastAsia" w:cstheme="minorEastAsia"/>
                <w:szCs w:val="21"/>
              </w:rPr>
              <w:t>标指标均已完成。</w:t>
            </w:r>
          </w:p>
          <w:p>
            <w:pPr>
              <w:spacing w:line="360" w:lineRule="auto"/>
              <w:ind w:firstLine="420" w:firstLineChars="200"/>
              <w:rPr>
                <w:szCs w:val="21"/>
              </w:rPr>
            </w:pPr>
            <w:r>
              <w:rPr>
                <w:rFonts w:hint="eastAsia"/>
                <w:szCs w:val="21"/>
              </w:rPr>
              <w:t>对以上的目标指标制定了管理方案：</w:t>
            </w:r>
          </w:p>
          <w:p>
            <w:pPr>
              <w:spacing w:line="360" w:lineRule="auto"/>
              <w:ind w:firstLine="420" w:firstLineChars="200"/>
              <w:rPr>
                <w:rFonts w:hint="eastAsia" w:eastAsia="宋体"/>
                <w:szCs w:val="21"/>
                <w:lang w:eastAsia="zh-CN"/>
              </w:rPr>
            </w:pPr>
            <w:r>
              <w:rPr>
                <w:rFonts w:hint="eastAsia" w:eastAsia="宋体"/>
                <w:szCs w:val="21"/>
              </w:rPr>
              <w:t>环境管理方案，查管理方案表，共2项：</w:t>
            </w:r>
            <w:r>
              <w:rPr>
                <w:rFonts w:hint="eastAsia" w:eastAsia="宋体"/>
                <w:szCs w:val="21"/>
                <w:lang w:val="en-US" w:eastAsia="zh-CN"/>
              </w:rPr>
              <w:t>1、</w:t>
            </w:r>
            <w:r>
              <w:rPr>
                <w:rFonts w:hint="eastAsia"/>
                <w:szCs w:val="21"/>
              </w:rPr>
              <w:t>固废类统一处理</w:t>
            </w:r>
            <w:r>
              <w:rPr>
                <w:rFonts w:hint="eastAsia"/>
                <w:szCs w:val="21"/>
                <w:lang w:eastAsia="zh-CN"/>
              </w:rPr>
              <w:t>：</w:t>
            </w:r>
          </w:p>
          <w:p>
            <w:pPr>
              <w:spacing w:line="360" w:lineRule="auto"/>
              <w:ind w:firstLine="420" w:firstLineChars="200"/>
              <w:rPr>
                <w:rFonts w:hint="eastAsia" w:eastAsia="宋体"/>
                <w:szCs w:val="21"/>
                <w:lang w:val="en-US" w:eastAsia="zh-CN"/>
              </w:rPr>
            </w:pPr>
            <w:r>
              <w:rPr>
                <w:rFonts w:hint="eastAsia" w:eastAsia="宋体"/>
                <w:szCs w:val="21"/>
              </w:rPr>
              <w:t>1</w:t>
            </w:r>
            <w:r>
              <w:rPr>
                <w:rFonts w:hint="eastAsia" w:eastAsia="宋体"/>
                <w:szCs w:val="21"/>
                <w:lang w:eastAsia="zh-CN"/>
              </w:rPr>
              <w:t>）</w:t>
            </w:r>
            <w:r>
              <w:rPr>
                <w:rFonts w:hint="eastAsia" w:eastAsia="宋体"/>
                <w:szCs w:val="21"/>
              </w:rPr>
              <w:t>划分</w:t>
            </w:r>
            <w:r>
              <w:rPr>
                <w:rFonts w:hint="eastAsia" w:eastAsia="宋体"/>
                <w:szCs w:val="21"/>
                <w:lang w:val="en-US" w:eastAsia="zh-CN"/>
              </w:rPr>
              <w:t>垃圾区域，可回收与不可回收</w:t>
            </w:r>
          </w:p>
          <w:p>
            <w:pPr>
              <w:spacing w:line="360" w:lineRule="auto"/>
              <w:ind w:firstLine="420" w:firstLineChars="200"/>
              <w:rPr>
                <w:rFonts w:hint="eastAsia" w:eastAsia="宋体"/>
                <w:szCs w:val="21"/>
              </w:rPr>
            </w:pPr>
            <w:r>
              <w:rPr>
                <w:rFonts w:hint="eastAsia" w:eastAsia="宋体"/>
                <w:szCs w:val="21"/>
              </w:rPr>
              <w:t>2</w:t>
            </w:r>
            <w:r>
              <w:rPr>
                <w:rFonts w:hint="eastAsia" w:eastAsia="宋体"/>
                <w:szCs w:val="21"/>
                <w:lang w:eastAsia="zh-CN"/>
              </w:rPr>
              <w:t>）</w:t>
            </w:r>
            <w:r>
              <w:rPr>
                <w:rFonts w:hint="eastAsia" w:eastAsia="宋体"/>
                <w:szCs w:val="21"/>
              </w:rPr>
              <w:t>废弃硒鼓、墨盒由供应商回收统一处理。</w:t>
            </w:r>
          </w:p>
          <w:p>
            <w:pPr>
              <w:spacing w:line="360" w:lineRule="auto"/>
              <w:ind w:firstLine="420" w:firstLineChars="200"/>
              <w:rPr>
                <w:rFonts w:hint="eastAsia" w:eastAsia="宋体"/>
                <w:szCs w:val="21"/>
              </w:rPr>
            </w:pPr>
            <w:r>
              <w:rPr>
                <w:rFonts w:hint="eastAsia" w:eastAsia="宋体"/>
                <w:szCs w:val="21"/>
              </w:rPr>
              <w:t>3</w:t>
            </w:r>
            <w:r>
              <w:rPr>
                <w:rFonts w:hint="eastAsia" w:eastAsia="宋体"/>
                <w:szCs w:val="21"/>
                <w:lang w:eastAsia="zh-CN"/>
              </w:rPr>
              <w:t>）</w:t>
            </w:r>
            <w:r>
              <w:rPr>
                <w:rFonts w:hint="eastAsia" w:eastAsia="宋体"/>
                <w:szCs w:val="21"/>
              </w:rPr>
              <w:t>废弃灯管、电池等设置专门回收桶，统一集中由环卫部门回收处理。</w:t>
            </w:r>
          </w:p>
          <w:p>
            <w:pPr>
              <w:spacing w:line="360" w:lineRule="auto"/>
              <w:ind w:firstLine="420" w:firstLineChars="200"/>
              <w:rPr>
                <w:rFonts w:hint="eastAsia" w:eastAsia="宋体"/>
                <w:szCs w:val="21"/>
              </w:rPr>
            </w:pPr>
            <w:r>
              <w:rPr>
                <w:rFonts w:hint="eastAsia" w:eastAsia="宋体"/>
                <w:szCs w:val="21"/>
              </w:rPr>
              <w:t>2、杜绝火灾发生，制定了管理方案: 制定3项管理方案：1</w:t>
            </w:r>
            <w:r>
              <w:rPr>
                <w:rFonts w:hint="eastAsia" w:eastAsia="宋体"/>
                <w:szCs w:val="21"/>
                <w:lang w:eastAsia="zh-CN"/>
              </w:rPr>
              <w:t>）</w:t>
            </w:r>
            <w:r>
              <w:rPr>
                <w:rFonts w:hint="eastAsia" w:eastAsia="宋体"/>
                <w:szCs w:val="21"/>
              </w:rPr>
              <w:t>消防设施配备率100%；2</w:t>
            </w:r>
            <w:r>
              <w:rPr>
                <w:rFonts w:hint="eastAsia" w:eastAsia="宋体"/>
                <w:szCs w:val="21"/>
                <w:lang w:eastAsia="zh-CN"/>
              </w:rPr>
              <w:t>）</w:t>
            </w:r>
            <w:r>
              <w:rPr>
                <w:rFonts w:hint="eastAsia" w:eastAsia="宋体"/>
                <w:szCs w:val="21"/>
              </w:rPr>
              <w:t>建立应急预案，定期进行消防演习。</w:t>
            </w:r>
          </w:p>
          <w:p>
            <w:pPr>
              <w:spacing w:line="360" w:lineRule="auto"/>
              <w:ind w:firstLine="420" w:firstLineChars="200"/>
              <w:rPr>
                <w:szCs w:val="21"/>
              </w:rPr>
            </w:pPr>
            <w:r>
              <w:rPr>
                <w:rFonts w:hint="eastAsia"/>
                <w:szCs w:val="21"/>
              </w:rPr>
              <w:t>c. 淘汰过期、报废设备,对灭火器更新；每年进行一次消防演习。执行部门：各部门，检查</w:t>
            </w:r>
            <w:r>
              <w:rPr>
                <w:rFonts w:hint="eastAsia" w:eastAsia="宋体"/>
                <w:szCs w:val="21"/>
              </w:rPr>
              <w:t>人：</w:t>
            </w:r>
            <w:r>
              <w:rPr>
                <w:rFonts w:hint="eastAsia"/>
                <w:szCs w:val="21"/>
                <w:lang w:eastAsia="zh-CN"/>
              </w:rPr>
              <w:t>王红</w:t>
            </w:r>
            <w:r>
              <w:rPr>
                <w:rFonts w:hint="eastAsia" w:eastAsia="宋体"/>
                <w:szCs w:val="21"/>
              </w:rPr>
              <w:t xml:space="preserve"> ，</w:t>
            </w:r>
            <w:r>
              <w:rPr>
                <w:rFonts w:hint="eastAsia"/>
                <w:szCs w:val="21"/>
              </w:rPr>
              <w:t>资金投入800元，责任人：</w:t>
            </w:r>
            <w:r>
              <w:rPr>
                <w:rFonts w:hint="eastAsia"/>
                <w:szCs w:val="21"/>
                <w:lang w:eastAsia="zh-CN"/>
              </w:rPr>
              <w:t>王红</w:t>
            </w:r>
            <w:r>
              <w:rPr>
                <w:rFonts w:hint="eastAsia"/>
                <w:szCs w:val="21"/>
              </w:rPr>
              <w:t>，执行日期：</w:t>
            </w:r>
            <w:r>
              <w:rPr>
                <w:rFonts w:hint="eastAsia"/>
                <w:szCs w:val="21"/>
                <w:lang w:val="en-US" w:eastAsia="zh-CN"/>
              </w:rPr>
              <w:t>长期。</w:t>
            </w:r>
          </w:p>
          <w:p>
            <w:pPr>
              <w:spacing w:line="360" w:lineRule="auto"/>
            </w:pPr>
            <w:r>
              <w:rPr>
                <w:rFonts w:hint="eastAsia"/>
                <w:szCs w:val="21"/>
              </w:rPr>
              <w:t>制定的指标和管理方案基本可行。</w:t>
            </w:r>
          </w:p>
        </w:tc>
        <w:tc>
          <w:tcPr>
            <w:tcW w:w="1585" w:type="dxa"/>
          </w:tcPr>
          <w:p>
            <w:pPr>
              <w:spacing w:line="360" w:lineRule="auto"/>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spacing w:line="360" w:lineRule="auto"/>
              <w:rPr>
                <w:szCs w:val="21"/>
              </w:rPr>
            </w:pPr>
            <w:r>
              <w:rPr>
                <w:rFonts w:hint="eastAsia"/>
                <w:szCs w:val="21"/>
              </w:rPr>
              <w:t>环境因素、危险源识别</w:t>
            </w:r>
          </w:p>
        </w:tc>
        <w:tc>
          <w:tcPr>
            <w:tcW w:w="960" w:type="dxa"/>
            <w:vAlign w:val="center"/>
          </w:tcPr>
          <w:p>
            <w:pPr>
              <w:spacing w:line="360" w:lineRule="auto"/>
              <w:rPr>
                <w:szCs w:val="21"/>
              </w:rPr>
            </w:pPr>
            <w:r>
              <w:rPr>
                <w:rFonts w:hint="eastAsia"/>
                <w:szCs w:val="21"/>
              </w:rPr>
              <w:t>E6.1.2</w:t>
            </w:r>
          </w:p>
          <w:p>
            <w:pPr>
              <w:spacing w:line="360" w:lineRule="auto"/>
            </w:pPr>
          </w:p>
        </w:tc>
        <w:tc>
          <w:tcPr>
            <w:tcW w:w="10004" w:type="dxa"/>
            <w:vAlign w:val="center"/>
          </w:tcPr>
          <w:p>
            <w:pPr>
              <w:spacing w:line="360" w:lineRule="auto"/>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spacing w:line="360" w:lineRule="auto"/>
              <w:ind w:firstLine="420" w:firstLineChars="200"/>
              <w:rPr>
                <w:szCs w:val="21"/>
              </w:rPr>
            </w:pPr>
            <w:r>
              <w:rPr>
                <w:rFonts w:hint="eastAsia"/>
                <w:szCs w:val="21"/>
              </w:rPr>
              <w:t>提供的“环境因素识别评价表”， 评价考虑了三种时态现在、过去、将来、三种状态、异常、正常、紧急考虑了法律法规，并进行了评价，</w:t>
            </w:r>
            <w:r>
              <w:rPr>
                <w:rFonts w:hint="eastAsia" w:ascii="宋体" w:hAnsi="宋体"/>
                <w:szCs w:val="21"/>
                <w:lang w:eastAsia="zh-CN"/>
              </w:rPr>
              <w:t>汽车用铝合金零部件的销售</w:t>
            </w: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60" w:lineRule="auto"/>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spacing w:line="360" w:lineRule="auto"/>
              <w:ind w:firstLine="420" w:firstLineChars="200"/>
              <w:rPr>
                <w:bCs/>
                <w:szCs w:val="21"/>
              </w:rPr>
            </w:pPr>
          </w:p>
        </w:tc>
        <w:tc>
          <w:tcPr>
            <w:tcW w:w="1585" w:type="dxa"/>
          </w:tcPr>
          <w:p>
            <w:pPr>
              <w:spacing w:line="360" w:lineRule="auto"/>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color w:val="000000"/>
                <w:szCs w:val="21"/>
              </w:rPr>
              <w:t>运行控制</w:t>
            </w:r>
          </w:p>
        </w:tc>
        <w:tc>
          <w:tcPr>
            <w:tcW w:w="960" w:type="dxa"/>
            <w:vAlign w:val="center"/>
          </w:tcPr>
          <w:p>
            <w:pPr>
              <w:spacing w:line="360" w:lineRule="auto"/>
              <w:rPr>
                <w:color w:val="000000"/>
                <w:szCs w:val="21"/>
              </w:rPr>
            </w:pPr>
            <w:r>
              <w:rPr>
                <w:rFonts w:hint="eastAsia"/>
                <w:color w:val="000000"/>
                <w:szCs w:val="21"/>
              </w:rPr>
              <w:t>E8.1</w:t>
            </w:r>
          </w:p>
          <w:p>
            <w:pPr>
              <w:spacing w:line="360" w:lineRule="auto"/>
            </w:pPr>
          </w:p>
        </w:tc>
        <w:tc>
          <w:tcPr>
            <w:tcW w:w="10004" w:type="dxa"/>
            <w:vAlign w:val="center"/>
          </w:tcPr>
          <w:p>
            <w:pPr>
              <w:spacing w:line="360" w:lineRule="auto"/>
              <w:ind w:firstLine="420" w:firstLineChars="200"/>
              <w:rPr>
                <w:rFonts w:hint="eastAsia" w:eastAsia="宋体"/>
                <w:lang w:eastAsia="zh-CN"/>
              </w:rPr>
            </w:pPr>
            <w:r>
              <w:rPr>
                <w:rFonts w:hint="eastAsia"/>
              </w:rPr>
              <w:t>本部门应执行的运行控制文件包括：</w:t>
            </w:r>
            <w:r>
              <w:rPr>
                <w:rFonts w:hint="eastAsia"/>
                <w:lang w:eastAsia="zh-CN"/>
              </w:rPr>
              <w:t>环境运行控制程序</w:t>
            </w:r>
            <w:r>
              <w:rPr>
                <w:rFonts w:hint="eastAsia"/>
                <w:lang w:val="en-GB"/>
              </w:rPr>
              <w:t>、固体废弃物管理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r>
              <w:rPr>
                <w:rFonts w:hint="eastAsia"/>
                <w:lang w:eastAsia="zh-CN"/>
              </w:rPr>
              <w:t>。</w:t>
            </w:r>
          </w:p>
          <w:p>
            <w:pPr>
              <w:spacing w:line="360" w:lineRule="auto"/>
            </w:pPr>
            <w:r>
              <w:rPr>
                <w:rFonts w:hint="eastAsia"/>
              </w:rPr>
              <w:t>运行控制情况：</w:t>
            </w:r>
          </w:p>
          <w:p>
            <w:pPr>
              <w:numPr>
                <w:ilvl w:val="0"/>
                <w:numId w:val="1"/>
              </w:numPr>
              <w:spacing w:line="360" w:lineRule="auto"/>
            </w:pPr>
            <w:r>
              <w:rPr>
                <w:rFonts w:hint="eastAsia"/>
              </w:rPr>
              <w:t>办公室区域：污水：不涉及污水，没有污水排放。</w:t>
            </w:r>
          </w:p>
          <w:p>
            <w:pPr>
              <w:numPr>
                <w:ilvl w:val="0"/>
                <w:numId w:val="1"/>
              </w:numPr>
              <w:spacing w:line="360" w:lineRule="auto"/>
            </w:pPr>
            <w:r>
              <w:rPr>
                <w:rFonts w:hint="eastAsia"/>
              </w:rPr>
              <w:t>噪声：办公现场不产生明显噪声。</w:t>
            </w:r>
          </w:p>
          <w:p>
            <w:pPr>
              <w:numPr>
                <w:ilvl w:val="0"/>
                <w:numId w:val="1"/>
              </w:numPr>
              <w:spacing w:line="360" w:lineRule="auto"/>
            </w:pPr>
            <w:r>
              <w:rPr>
                <w:rFonts w:hint="eastAsia"/>
              </w:rPr>
              <w:t>固废：固体废物主要是办公产生废纸张等，配置了纸篓；办公用纸由办公室负责，复印、打印耗材都有办公室统一负责，集中处置。</w:t>
            </w:r>
          </w:p>
          <w:p>
            <w:pPr>
              <w:numPr>
                <w:ilvl w:val="0"/>
                <w:numId w:val="1"/>
              </w:numPr>
              <w:spacing w:line="360" w:lineRule="auto"/>
            </w:pPr>
            <w:r>
              <w:rPr>
                <w:rFonts w:hint="eastAsia"/>
              </w:rPr>
              <w:t>办公过程注意节约用电，做到人走灯灭，电脑长时间不用时关机，下班前要关闭电源，防止触电。</w:t>
            </w:r>
          </w:p>
          <w:p>
            <w:pPr>
              <w:numPr>
                <w:ilvl w:val="0"/>
                <w:numId w:val="1"/>
              </w:numPr>
              <w:spacing w:line="360" w:lineRule="auto"/>
            </w:pPr>
            <w:r>
              <w:rPr>
                <w:rFonts w:hint="eastAsia"/>
              </w:rPr>
              <w:t>办公区域:，现场查看办公区域环境整洁、宽敞、办公设备状态良好、</w:t>
            </w:r>
          </w:p>
          <w:p>
            <w:pPr>
              <w:numPr>
                <w:ilvl w:val="0"/>
                <w:numId w:val="1"/>
              </w:numPr>
              <w:spacing w:line="360" w:lineRule="auto"/>
            </w:pPr>
            <w:r>
              <w:rPr>
                <w:rFonts w:hint="eastAsia"/>
              </w:rPr>
              <w:t>工作时间平均每天不超过8小时。</w:t>
            </w:r>
          </w:p>
          <w:p>
            <w:pPr>
              <w:numPr>
                <w:ilvl w:val="0"/>
                <w:numId w:val="1"/>
              </w:numPr>
              <w:spacing w:line="360" w:lineRule="auto"/>
            </w:pPr>
            <w:r>
              <w:rPr>
                <w:rFonts w:hint="eastAsia"/>
              </w:rPr>
              <w:t>现场查看办公区域配备符合要求的消防设施。</w:t>
            </w:r>
          </w:p>
          <w:p>
            <w:pPr>
              <w:numPr>
                <w:ilvl w:val="0"/>
                <w:numId w:val="1"/>
              </w:numPr>
              <w:spacing w:line="360" w:lineRule="auto"/>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spacing w:line="360" w:lineRule="auto"/>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spacing w:line="360" w:lineRule="auto"/>
              <w:rPr>
                <w:rFonts w:hint="eastAsia"/>
              </w:rPr>
            </w:pPr>
            <w:r>
              <w:t>10</w:t>
            </w:r>
            <w:r>
              <w:rPr>
                <w:rFonts w:hint="eastAsia"/>
              </w:rPr>
              <w:t>、驾驶员要求遵守道路交通安全法规，不违章驾车，驾驶证和车辆定期年审，确保行车安全。</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抽查了企业关于</w:t>
            </w:r>
            <w:r>
              <w:rPr>
                <w:rFonts w:hint="eastAsia" w:cs="Times New Roman"/>
                <w:kern w:val="2"/>
                <w:sz w:val="21"/>
                <w:lang w:val="en-US" w:eastAsia="zh-CN" w:bidi="ar-SA"/>
              </w:rPr>
              <w:t>汽车用铝合金零部件的销售</w:t>
            </w:r>
            <w:r>
              <w:rPr>
                <w:rFonts w:hint="eastAsia" w:ascii="Times New Roman" w:hAnsi="Times New Roman" w:eastAsia="宋体" w:cs="Times New Roman"/>
                <w:kern w:val="2"/>
                <w:sz w:val="21"/>
                <w:lang w:val="en-US" w:eastAsia="zh-CN" w:bidi="ar-SA"/>
              </w:rPr>
              <w:t>合同：</w:t>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r>
              <w:drawing>
                <wp:anchor distT="0" distB="0" distL="114300" distR="114300" simplePos="0" relativeHeight="251660288" behindDoc="0" locked="0" layoutInCell="1" allowOverlap="1">
                  <wp:simplePos x="0" y="0"/>
                  <wp:positionH relativeFrom="column">
                    <wp:posOffset>2974975</wp:posOffset>
                  </wp:positionH>
                  <wp:positionV relativeFrom="paragraph">
                    <wp:posOffset>132080</wp:posOffset>
                  </wp:positionV>
                  <wp:extent cx="2705735" cy="1752600"/>
                  <wp:effectExtent l="0" t="0" r="1206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705735" cy="17526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186690</wp:posOffset>
                  </wp:positionH>
                  <wp:positionV relativeFrom="paragraph">
                    <wp:posOffset>116205</wp:posOffset>
                  </wp:positionV>
                  <wp:extent cx="2409190" cy="1719580"/>
                  <wp:effectExtent l="0" t="0" r="381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409190" cy="1719580"/>
                          </a:xfrm>
                          <a:prstGeom prst="rect">
                            <a:avLst/>
                          </a:prstGeom>
                          <a:noFill/>
                          <a:ln>
                            <a:noFill/>
                          </a:ln>
                        </pic:spPr>
                      </pic:pic>
                    </a:graphicData>
                  </a:graphic>
                </wp:anchor>
              </w:drawing>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 xml:space="preserve">            </w:t>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r>
              <w:drawing>
                <wp:anchor distT="0" distB="0" distL="114300" distR="114300" simplePos="0" relativeHeight="251661312" behindDoc="0" locked="0" layoutInCell="1" allowOverlap="1">
                  <wp:simplePos x="0" y="0"/>
                  <wp:positionH relativeFrom="column">
                    <wp:posOffset>2982595</wp:posOffset>
                  </wp:positionH>
                  <wp:positionV relativeFrom="paragraph">
                    <wp:posOffset>122555</wp:posOffset>
                  </wp:positionV>
                  <wp:extent cx="2711450" cy="1261745"/>
                  <wp:effectExtent l="0" t="0" r="6350" b="825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711450" cy="1261745"/>
                          </a:xfrm>
                          <a:prstGeom prst="rect">
                            <a:avLst/>
                          </a:prstGeom>
                          <a:noFill/>
                          <a:ln>
                            <a:noFill/>
                          </a:ln>
                        </pic:spPr>
                      </pic:pic>
                    </a:graphicData>
                  </a:graphic>
                </wp:anchor>
              </w:drawing>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p>
        </w:tc>
        <w:tc>
          <w:tcPr>
            <w:tcW w:w="1585" w:type="dxa"/>
          </w:tcPr>
          <w:p>
            <w:pPr>
              <w:spacing w:line="360" w:lineRule="auto"/>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spacing w:line="360" w:lineRule="auto"/>
            </w:pPr>
            <w:r>
              <w:rPr>
                <w:rFonts w:hint="eastAsia"/>
                <w:color w:val="000000"/>
                <w:szCs w:val="21"/>
              </w:rPr>
              <w:t>应急准备和响应</w:t>
            </w:r>
          </w:p>
        </w:tc>
        <w:tc>
          <w:tcPr>
            <w:tcW w:w="960" w:type="dxa"/>
            <w:vAlign w:val="center"/>
          </w:tcPr>
          <w:p>
            <w:pPr>
              <w:spacing w:line="360" w:lineRule="auto"/>
              <w:rPr>
                <w:color w:val="000000"/>
                <w:szCs w:val="21"/>
              </w:rPr>
            </w:pPr>
            <w:r>
              <w:rPr>
                <w:rFonts w:hint="eastAsia"/>
                <w:color w:val="000000"/>
                <w:szCs w:val="21"/>
              </w:rPr>
              <w:t>E8.2</w:t>
            </w:r>
          </w:p>
          <w:p>
            <w:pPr>
              <w:spacing w:line="360" w:lineRule="auto"/>
            </w:pPr>
          </w:p>
        </w:tc>
        <w:tc>
          <w:tcPr>
            <w:tcW w:w="10004" w:type="dxa"/>
            <w:vAlign w:val="center"/>
          </w:tcPr>
          <w:p>
            <w:pPr>
              <w:spacing w:line="360" w:lineRule="auto"/>
            </w:pPr>
            <w:r>
              <w:rPr>
                <w:rFonts w:hint="eastAsia"/>
              </w:rPr>
              <w:t>公司制定《</w:t>
            </w:r>
            <w:r>
              <w:rPr>
                <w:rFonts w:hint="eastAsia"/>
                <w:lang w:eastAsia="zh-CN"/>
              </w:rPr>
              <w:t>应急准备和响应控制程序</w:t>
            </w:r>
            <w:r>
              <w:rPr>
                <w:rFonts w:hint="eastAsia"/>
              </w:rPr>
              <w:t>》，预防或减少潜在安全事故或紧急情况造成的影响，对可能发生的各种重要环境危险源的紧急情况做出积极准备和响应，以减少事故造成的影响。</w:t>
            </w:r>
          </w:p>
          <w:p>
            <w:pPr>
              <w:spacing w:line="360" w:lineRule="auto"/>
            </w:pPr>
            <w:r>
              <w:rPr>
                <w:rFonts w:hint="eastAsia"/>
              </w:rPr>
              <w:t>提供了《火灾应急预案》，包括发生火灾等紧急情况的处置和应急抢救方案等内容。</w:t>
            </w:r>
          </w:p>
          <w:p>
            <w:pPr>
              <w:spacing w:line="360" w:lineRule="auto"/>
            </w:pPr>
            <w:r>
              <w:rPr>
                <w:rFonts w:hint="eastAsia"/>
              </w:rPr>
              <w:t>出示了“应急预案演练记录”</w:t>
            </w:r>
          </w:p>
          <w:p>
            <w:pPr>
              <w:spacing w:line="360" w:lineRule="auto"/>
            </w:pPr>
            <w:r>
              <w:rPr>
                <w:rFonts w:hint="eastAsia"/>
              </w:rPr>
              <w:t>组织部门：</w:t>
            </w:r>
            <w:r>
              <w:rPr>
                <w:rFonts w:hint="eastAsia"/>
                <w:lang w:eastAsia="zh-CN"/>
              </w:rPr>
              <w:t>行政部</w:t>
            </w:r>
            <w:r>
              <w:rPr>
                <w:rFonts w:hint="eastAsia"/>
              </w:rPr>
              <w:t>演练主持人：</w:t>
            </w:r>
            <w:r>
              <w:rPr>
                <w:rFonts w:hint="eastAsia"/>
                <w:lang w:eastAsia="zh-CN"/>
              </w:rPr>
              <w:t>吕珂玲</w:t>
            </w:r>
            <w:r>
              <w:rPr>
                <w:rFonts w:hint="eastAsia"/>
              </w:rPr>
              <w:t>，参加演练人员名单：</w:t>
            </w:r>
            <w:r>
              <w:rPr>
                <w:rFonts w:hint="eastAsia"/>
                <w:lang w:eastAsia="zh-CN"/>
              </w:rPr>
              <w:t>王红</w:t>
            </w:r>
            <w:r>
              <w:rPr>
                <w:rFonts w:hint="eastAsia"/>
              </w:rPr>
              <w:t>、</w:t>
            </w:r>
            <w:r>
              <w:rPr>
                <w:rFonts w:hint="eastAsia"/>
                <w:lang w:eastAsia="zh-CN"/>
              </w:rPr>
              <w:t>李万国</w:t>
            </w:r>
            <w:r>
              <w:rPr>
                <w:rFonts w:hint="eastAsia"/>
              </w:rPr>
              <w:t>、</w:t>
            </w:r>
            <w:r>
              <w:rPr>
                <w:rFonts w:hint="eastAsia"/>
                <w:lang w:eastAsia="zh-CN"/>
              </w:rPr>
              <w:t>窦小云</w:t>
            </w:r>
            <w:r>
              <w:rPr>
                <w:rFonts w:hint="eastAsia"/>
              </w:rPr>
              <w:t>等公司全体人员。</w:t>
            </w:r>
          </w:p>
          <w:p>
            <w:pPr>
              <w:spacing w:line="360" w:lineRule="auto"/>
            </w:pPr>
            <w:r>
              <w:rPr>
                <w:rFonts w:hint="eastAsia"/>
              </w:rPr>
              <w:t>1.演练目的：演练目的、内容：</w:t>
            </w:r>
          </w:p>
          <w:p>
            <w:pPr>
              <w:spacing w:line="360" w:lineRule="auto"/>
            </w:pPr>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pPr>
              <w:spacing w:line="360" w:lineRule="auto"/>
            </w:pPr>
            <w:r>
              <w:rPr>
                <w:rFonts w:hint="eastAsia"/>
              </w:rPr>
              <w:t>2.演练小结：参加人员基本了解，掌握了灭火器的使用方法和现场撤离路线，掌握火灾时的逃生方法。</w:t>
            </w:r>
          </w:p>
          <w:p>
            <w:pPr>
              <w:spacing w:line="360" w:lineRule="auto"/>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spacing w:line="360" w:lineRule="auto"/>
            </w:pPr>
            <w:r>
              <w:rPr>
                <w:rFonts w:hint="eastAsia"/>
              </w:rPr>
              <w:t>填写部门：</w:t>
            </w:r>
            <w:r>
              <w:rPr>
                <w:rFonts w:hint="eastAsia"/>
                <w:lang w:eastAsia="zh-CN"/>
              </w:rPr>
              <w:t>行政部</w:t>
            </w:r>
            <w:r>
              <w:rPr>
                <w:rFonts w:hint="eastAsia"/>
              </w:rPr>
              <w:t>填写日期：</w:t>
            </w:r>
            <w:r>
              <w:rPr>
                <w:rFonts w:hint="eastAsia"/>
                <w:lang w:eastAsia="zh-CN"/>
              </w:rPr>
              <w:t>202</w:t>
            </w:r>
            <w:r>
              <w:rPr>
                <w:rFonts w:hint="eastAsia"/>
                <w:lang w:val="en-US" w:eastAsia="zh-CN"/>
              </w:rPr>
              <w:t>2</w:t>
            </w:r>
            <w:r>
              <w:rPr>
                <w:rFonts w:hint="eastAsia"/>
                <w:lang w:eastAsia="zh-CN"/>
              </w:rPr>
              <w:t>年4月</w:t>
            </w:r>
            <w:r>
              <w:rPr>
                <w:rFonts w:hint="eastAsia"/>
                <w:lang w:val="en-US" w:eastAsia="zh-CN"/>
              </w:rPr>
              <w:t>15</w:t>
            </w:r>
            <w:r>
              <w:rPr>
                <w:rFonts w:hint="eastAsia"/>
                <w:lang w:eastAsia="zh-CN"/>
              </w:rPr>
              <w:t>日</w:t>
            </w:r>
          </w:p>
          <w:p>
            <w:pPr>
              <w:spacing w:line="360" w:lineRule="auto"/>
            </w:pPr>
            <w:r>
              <w:rPr>
                <w:rFonts w:hint="eastAsia"/>
              </w:rPr>
              <w:t>提供了“应急预案评审记录”，演练后对</w:t>
            </w:r>
            <w:r>
              <w:t>预案适宜性充分性</w:t>
            </w:r>
            <w:r>
              <w:rPr>
                <w:rFonts w:hint="eastAsia"/>
              </w:rPr>
              <w:t>进行了</w:t>
            </w:r>
            <w:r>
              <w:t>评审</w:t>
            </w:r>
            <w:r>
              <w:rPr>
                <w:rFonts w:hint="eastAsia"/>
              </w:rPr>
              <w:t>，结论：预案适用无需修订。</w:t>
            </w:r>
          </w:p>
          <w:p>
            <w:pPr>
              <w:spacing w:line="360" w:lineRule="auto"/>
              <w:ind w:firstLine="42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tc>
        <w:tc>
          <w:tcPr>
            <w:tcW w:w="1585" w:type="dxa"/>
          </w:tcPr>
          <w:p>
            <w:pPr>
              <w:spacing w:line="360" w:lineRule="auto"/>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szCs w:val="21"/>
              </w:rPr>
            </w:pPr>
            <w:r>
              <w:rPr>
                <w:rFonts w:hint="eastAsia"/>
                <w:szCs w:val="21"/>
              </w:rPr>
              <w:t>不符合和纠正措施</w:t>
            </w:r>
          </w:p>
          <w:p>
            <w:pPr>
              <w:spacing w:line="360" w:lineRule="auto"/>
            </w:pPr>
            <w:r>
              <w:rPr>
                <w:rFonts w:hint="eastAsia"/>
                <w:szCs w:val="21"/>
              </w:rPr>
              <w:t>事件调查、不符合、纠正措施和预防措施</w:t>
            </w:r>
          </w:p>
        </w:tc>
        <w:tc>
          <w:tcPr>
            <w:tcW w:w="960" w:type="dxa"/>
            <w:vAlign w:val="center"/>
          </w:tcPr>
          <w:p>
            <w:pPr>
              <w:spacing w:line="360" w:lineRule="auto"/>
              <w:rPr>
                <w:szCs w:val="21"/>
              </w:rPr>
            </w:pPr>
            <w:r>
              <w:rPr>
                <w:szCs w:val="21"/>
              </w:rPr>
              <w:t>E10.2</w:t>
            </w:r>
          </w:p>
          <w:p>
            <w:pPr>
              <w:pStyle w:val="8"/>
              <w:spacing w:line="360" w:lineRule="auto"/>
              <w:rPr>
                <w:bCs w:val="0"/>
                <w:spacing w:val="0"/>
                <w:szCs w:val="21"/>
              </w:rPr>
            </w:pPr>
          </w:p>
          <w:p>
            <w:pPr>
              <w:pStyle w:val="8"/>
              <w:spacing w:line="360" w:lineRule="auto"/>
            </w:pPr>
          </w:p>
        </w:tc>
        <w:tc>
          <w:tcPr>
            <w:tcW w:w="10004" w:type="dxa"/>
            <w:vAlign w:val="center"/>
          </w:tcPr>
          <w:p>
            <w:pPr>
              <w:spacing w:line="360" w:lineRule="auto"/>
              <w:ind w:firstLine="420" w:firstLineChars="200"/>
              <w:rPr>
                <w:szCs w:val="21"/>
              </w:rPr>
            </w:pPr>
            <w:r>
              <w:rPr>
                <w:rFonts w:hint="eastAsia"/>
                <w:szCs w:val="21"/>
              </w:rPr>
              <w:t>企业通过过程的监视和测量、绩效考核、内审、管理评审等方式和机制，确保质量管理制度有效执行。</w:t>
            </w:r>
          </w:p>
          <w:p>
            <w:pPr>
              <w:spacing w:line="360" w:lineRule="auto"/>
              <w:ind w:firstLine="420" w:firstLineChars="200"/>
              <w:rPr>
                <w:szCs w:val="21"/>
              </w:rPr>
            </w:pPr>
            <w:r>
              <w:rPr>
                <w:rFonts w:hint="eastAsia"/>
                <w:szCs w:val="21"/>
              </w:rPr>
              <w:t>企业经过策划，采用对产品的监视和测量，对不合格品控制等来证实产品的符合性。</w:t>
            </w:r>
          </w:p>
          <w:p>
            <w:pPr>
              <w:spacing w:line="360" w:lineRule="auto"/>
              <w:ind w:firstLine="420" w:firstLineChars="200"/>
              <w:rPr>
                <w:szCs w:val="21"/>
              </w:rPr>
            </w:pPr>
            <w:r>
              <w:rPr>
                <w:rFonts w:hint="eastAsia"/>
                <w:szCs w:val="21"/>
              </w:rPr>
              <w:t>企业制定《</w:t>
            </w:r>
            <w:r>
              <w:rPr>
                <w:rFonts w:hint="eastAsia" w:ascii="宋体" w:hAnsi="宋体" w:eastAsia="宋体" w:cs="宋体"/>
                <w:szCs w:val="24"/>
                <w:lang w:eastAsia="zh-CN"/>
              </w:rPr>
              <w:t>不符合和纠正措施程序</w:t>
            </w:r>
            <w:r>
              <w:rPr>
                <w:rFonts w:hint="eastAsia"/>
                <w:szCs w:val="21"/>
              </w:rPr>
              <w:t>》等，通过分析实际存在的或潜在的不符合的原因，制定纠正和预防措施，并验证其效果，以防止不符合的发生／再发生，实现持续改进绩效的目的。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rPr>
              <w:t xml:space="preserve">对内审中的不符合，采取了纠正措施，并验证； </w:t>
            </w:r>
          </w:p>
          <w:p>
            <w:pPr>
              <w:spacing w:line="360" w:lineRule="auto"/>
              <w:ind w:firstLine="420" w:firstLineChars="200"/>
              <w:rPr>
                <w:szCs w:val="21"/>
              </w:rPr>
            </w:pPr>
            <w:r>
              <w:rPr>
                <w:rFonts w:hint="eastAsia"/>
                <w:szCs w:val="21"/>
              </w:rPr>
              <w:t>为保证公司职业健康安全管理体系的有效运行，通过对安全事件的调查处理，以确保管理体系运行的有效性。</w:t>
            </w:r>
          </w:p>
          <w:p>
            <w:pPr>
              <w:spacing w:line="360" w:lineRule="auto"/>
              <w:ind w:firstLine="420" w:firstLineChars="200"/>
              <w:rPr>
                <w:szCs w:val="21"/>
              </w:rPr>
            </w:pPr>
            <w:r>
              <w:rPr>
                <w:rFonts w:hint="eastAsia"/>
                <w:szCs w:val="21"/>
              </w:rPr>
              <w:t>经查在公司正常经营活动中，出现了轻微不符合，部门已经采取纠正和纠正措施，经验证纠正措施有效。</w:t>
            </w:r>
          </w:p>
          <w:p>
            <w:pPr>
              <w:spacing w:line="360" w:lineRule="auto"/>
              <w:ind w:firstLine="420" w:firstLineChars="200"/>
              <w:rPr>
                <w:szCs w:val="21"/>
              </w:rPr>
            </w:pPr>
            <w:r>
              <w:rPr>
                <w:rFonts w:hint="eastAsia"/>
                <w:szCs w:val="21"/>
              </w:rPr>
              <w:t>公司销售活动未发生过环境等事故。</w:t>
            </w:r>
          </w:p>
          <w:p>
            <w:pPr>
              <w:pStyle w:val="8"/>
              <w:spacing w:line="360" w:lineRule="auto"/>
              <w:rPr>
                <w:bCs w:val="0"/>
                <w:spacing w:val="0"/>
                <w:szCs w:val="21"/>
              </w:rPr>
            </w:pPr>
            <w:r>
              <w:rPr>
                <w:rFonts w:hint="eastAsia"/>
              </w:rPr>
              <w:t xml:space="preserve"> </w:t>
            </w:r>
            <w:r>
              <w:t xml:space="preserve">  </w:t>
            </w:r>
            <w:r>
              <w:rPr>
                <w:rFonts w:hint="eastAsia"/>
                <w:bCs w:val="0"/>
                <w:spacing w:val="0"/>
                <w:szCs w:val="21"/>
              </w:rPr>
              <w:t>查持续改进：</w:t>
            </w:r>
          </w:p>
          <w:p>
            <w:pPr>
              <w:pStyle w:val="8"/>
              <w:spacing w:line="360" w:lineRule="auto"/>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8"/>
              <w:spacing w:line="360" w:lineRule="auto"/>
              <w:ind w:firstLine="420" w:firstLineChars="200"/>
              <w:rPr>
                <w:bCs w:val="0"/>
                <w:spacing w:val="0"/>
                <w:szCs w:val="21"/>
              </w:rPr>
            </w:pPr>
            <w:r>
              <w:rPr>
                <w:rFonts w:hint="eastAsia"/>
                <w:bCs w:val="0"/>
                <w:spacing w:val="0"/>
                <w:szCs w:val="21"/>
              </w:rPr>
              <w:t>b. 通过数据分析、纠正、预防措施实施达到持续改进；</w:t>
            </w:r>
          </w:p>
          <w:p>
            <w:pPr>
              <w:pStyle w:val="8"/>
              <w:spacing w:line="360" w:lineRule="auto"/>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8"/>
              <w:spacing w:line="360" w:lineRule="auto"/>
              <w:ind w:firstLine="420" w:firstLineChars="200"/>
            </w:pPr>
            <w:r>
              <w:rPr>
                <w:rFonts w:hint="eastAsia"/>
                <w:bCs w:val="0"/>
                <w:spacing w:val="0"/>
                <w:szCs w:val="21"/>
              </w:rPr>
              <w:t>管理评审提出改进措施正在实施过程中。</w:t>
            </w:r>
          </w:p>
        </w:tc>
        <w:tc>
          <w:tcPr>
            <w:tcW w:w="1585" w:type="dxa"/>
          </w:tcPr>
          <w:p>
            <w:pPr>
              <w:spacing w:line="360" w:lineRule="auto"/>
            </w:pPr>
            <w:r>
              <w:rPr>
                <w:rFonts w:hint="eastAsia"/>
                <w:lang w:val="en-US" w:eastAsia="zh-CN"/>
              </w:rPr>
              <w:t>Y</w:t>
            </w:r>
          </w:p>
        </w:tc>
      </w:tr>
    </w:tbl>
    <w:p>
      <w:r>
        <w:ptab w:relativeTo="margin" w:alignment="center" w:leader="none"/>
      </w:r>
    </w:p>
    <w:p/>
    <w:p/>
    <w:p>
      <w:pPr>
        <w:pStyle w:val="4"/>
      </w:pPr>
      <w:r>
        <w:rPr>
          <w:rFonts w:hint="eastAsia"/>
        </w:rPr>
        <w:t>说明：不符合标注N</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1A2D7F"/>
    <w:rsid w:val="00337922"/>
    <w:rsid w:val="00340867"/>
    <w:rsid w:val="00380837"/>
    <w:rsid w:val="003A198A"/>
    <w:rsid w:val="00410914"/>
    <w:rsid w:val="0048167C"/>
    <w:rsid w:val="004E0CBD"/>
    <w:rsid w:val="00536930"/>
    <w:rsid w:val="00564E53"/>
    <w:rsid w:val="00644FE2"/>
    <w:rsid w:val="0067640C"/>
    <w:rsid w:val="006E678B"/>
    <w:rsid w:val="007757F3"/>
    <w:rsid w:val="007E6AEB"/>
    <w:rsid w:val="008645C9"/>
    <w:rsid w:val="008973EE"/>
    <w:rsid w:val="00971600"/>
    <w:rsid w:val="009973B4"/>
    <w:rsid w:val="009C28C1"/>
    <w:rsid w:val="009F7EED"/>
    <w:rsid w:val="00AF0AAB"/>
    <w:rsid w:val="00B76722"/>
    <w:rsid w:val="00BF597E"/>
    <w:rsid w:val="00C51A36"/>
    <w:rsid w:val="00C55228"/>
    <w:rsid w:val="00C57844"/>
    <w:rsid w:val="00CE315A"/>
    <w:rsid w:val="00D06F59"/>
    <w:rsid w:val="00D8388C"/>
    <w:rsid w:val="00EB0164"/>
    <w:rsid w:val="00ED0F62"/>
    <w:rsid w:val="018C2E2D"/>
    <w:rsid w:val="05180052"/>
    <w:rsid w:val="06695AAF"/>
    <w:rsid w:val="0B2F595E"/>
    <w:rsid w:val="0C8F541E"/>
    <w:rsid w:val="108219C2"/>
    <w:rsid w:val="13B41253"/>
    <w:rsid w:val="1A285E5F"/>
    <w:rsid w:val="1BCB41D9"/>
    <w:rsid w:val="1D8D2566"/>
    <w:rsid w:val="1F423B9A"/>
    <w:rsid w:val="1FF12435"/>
    <w:rsid w:val="2314729A"/>
    <w:rsid w:val="24080C27"/>
    <w:rsid w:val="25407ECB"/>
    <w:rsid w:val="2D3D28D2"/>
    <w:rsid w:val="32414982"/>
    <w:rsid w:val="370F49FE"/>
    <w:rsid w:val="3721546A"/>
    <w:rsid w:val="3B9528C7"/>
    <w:rsid w:val="3C9577AB"/>
    <w:rsid w:val="3D904A53"/>
    <w:rsid w:val="44B331D4"/>
    <w:rsid w:val="4AB902FA"/>
    <w:rsid w:val="4C475CA7"/>
    <w:rsid w:val="4D7B0D37"/>
    <w:rsid w:val="51F70450"/>
    <w:rsid w:val="53E00864"/>
    <w:rsid w:val="594A4899"/>
    <w:rsid w:val="59F40B86"/>
    <w:rsid w:val="5CA833F8"/>
    <w:rsid w:val="5CB240CF"/>
    <w:rsid w:val="5EA12B9A"/>
    <w:rsid w:val="610A5734"/>
    <w:rsid w:val="63F17C59"/>
    <w:rsid w:val="656B0071"/>
    <w:rsid w:val="677A4E1D"/>
    <w:rsid w:val="6B311CA7"/>
    <w:rsid w:val="6D786B79"/>
    <w:rsid w:val="72A417C8"/>
    <w:rsid w:val="741A4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2343</Characters>
  <Lines>19</Lines>
  <Paragraphs>5</Paragraphs>
  <TotalTime>0</TotalTime>
  <ScaleCrop>false</ScaleCrop>
  <LinksUpToDate>false</LinksUpToDate>
  <CharactersWithSpaces>2748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2022-08-11T02:53:56Z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AF0C4D4BF9A045F6B012C664EFB503AF</vt:lpwstr>
  </property>
</Properties>
</file>