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rPr>
              <w:t>过程与活动、</w:t>
            </w:r>
          </w:p>
          <w:p>
            <w:pPr>
              <w:jc w:val="center"/>
              <w:rPr>
                <w:rFonts w:hint="eastAsia" w:ascii="华文细黑" w:hAnsi="华文细黑" w:eastAsia="华文细黑" w:cs="华文细黑"/>
              </w:rPr>
            </w:pPr>
            <w:r>
              <w:rPr>
                <w:rFonts w:hint="eastAsia" w:ascii="华文细黑" w:hAnsi="华文细黑" w:eastAsia="华文细黑" w:cs="华文细黑"/>
                <w:sz w:val="24"/>
                <w:szCs w:val="24"/>
              </w:rPr>
              <w:t>抽样计划</w:t>
            </w:r>
          </w:p>
        </w:tc>
        <w:tc>
          <w:tcPr>
            <w:tcW w:w="998" w:type="dxa"/>
            <w:vMerge w:val="restart"/>
            <w:vAlign w:val="center"/>
          </w:tcPr>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涉及</w:t>
            </w:r>
          </w:p>
          <w:p>
            <w:pPr>
              <w:rPr>
                <w:rFonts w:hint="eastAsia" w:ascii="华文细黑" w:hAnsi="华文细黑" w:eastAsia="华文细黑" w:cs="华文细黑"/>
              </w:rPr>
            </w:pPr>
            <w:r>
              <w:rPr>
                <w:rFonts w:hint="eastAsia" w:ascii="华文细黑" w:hAnsi="华文细黑" w:eastAsia="华文细黑" w:cs="华文细黑"/>
                <w:sz w:val="24"/>
                <w:szCs w:val="24"/>
              </w:rPr>
              <w:t>条款</w:t>
            </w:r>
          </w:p>
        </w:tc>
        <w:tc>
          <w:tcPr>
            <w:tcW w:w="10004" w:type="dxa"/>
            <w:vAlign w:val="center"/>
          </w:tcPr>
          <w:p>
            <w:pPr>
              <w:rPr>
                <w:rFonts w:hint="eastAsia" w:ascii="华文细黑" w:hAnsi="华文细黑" w:eastAsia="华文细黑" w:cs="华文细黑"/>
                <w:sz w:val="24"/>
                <w:szCs w:val="24"/>
                <w:lang w:eastAsia="zh-CN"/>
              </w:rPr>
            </w:pPr>
            <w:r>
              <w:rPr>
                <w:rFonts w:hint="eastAsia" w:ascii="华文细黑" w:hAnsi="华文细黑" w:eastAsia="华文细黑" w:cs="华文细黑"/>
                <w:sz w:val="24"/>
                <w:szCs w:val="24"/>
              </w:rPr>
              <w:t>受审核部门：</w:t>
            </w:r>
            <w:r>
              <w:rPr>
                <w:rFonts w:hint="eastAsia" w:ascii="华文细黑" w:hAnsi="华文细黑" w:eastAsia="华文细黑" w:cs="华文细黑"/>
                <w:sz w:val="24"/>
                <w:szCs w:val="24"/>
                <w:lang w:val="en-US" w:eastAsia="zh-CN"/>
              </w:rPr>
              <w:t>人事行政部</w:t>
            </w:r>
            <w:r>
              <w:rPr>
                <w:rFonts w:hint="eastAsia" w:ascii="华文细黑" w:hAnsi="华文细黑" w:eastAsia="华文细黑" w:cs="华文细黑"/>
                <w:sz w:val="24"/>
                <w:szCs w:val="24"/>
              </w:rPr>
              <w:t xml:space="preserve">   主管领导：</w:t>
            </w:r>
            <w:r>
              <w:rPr>
                <w:rFonts w:hint="eastAsia" w:ascii="华文细黑" w:hAnsi="华文细黑" w:eastAsia="华文细黑" w:cs="华文细黑"/>
                <w:sz w:val="24"/>
                <w:szCs w:val="24"/>
                <w:lang w:val="en-US" w:eastAsia="zh-CN"/>
              </w:rPr>
              <w:t>陈跃明</w:t>
            </w:r>
            <w:r>
              <w:rPr>
                <w:rFonts w:hint="eastAsia" w:ascii="华文细黑" w:hAnsi="华文细黑" w:eastAsia="华文细黑" w:cs="华文细黑"/>
                <w:sz w:val="24"/>
                <w:szCs w:val="24"/>
              </w:rPr>
              <w:t xml:space="preserve">   陪同人员：</w:t>
            </w:r>
            <w:r>
              <w:rPr>
                <w:rFonts w:hint="eastAsia" w:ascii="华文细黑" w:hAnsi="华文细黑" w:eastAsia="华文细黑" w:cs="华文细黑"/>
                <w:sz w:val="24"/>
                <w:szCs w:val="24"/>
                <w:lang w:eastAsia="zh-CN"/>
              </w:rPr>
              <w:t>单梦云</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rPr>
                <w:rFonts w:hint="eastAsia" w:ascii="华文细黑" w:hAnsi="华文细黑" w:eastAsia="华文细黑" w:cs="华文细黑"/>
              </w:rPr>
            </w:pPr>
          </w:p>
        </w:tc>
        <w:tc>
          <w:tcPr>
            <w:tcW w:w="998" w:type="dxa"/>
            <w:vMerge w:val="continue"/>
            <w:vAlign w:val="center"/>
          </w:tcPr>
          <w:p>
            <w:pPr>
              <w:rPr>
                <w:rFonts w:hint="eastAsia" w:ascii="华文细黑" w:hAnsi="华文细黑" w:eastAsia="华文细黑" w:cs="华文细黑"/>
              </w:rPr>
            </w:pPr>
          </w:p>
        </w:tc>
        <w:tc>
          <w:tcPr>
            <w:tcW w:w="10004" w:type="dxa"/>
            <w:vAlign w:val="center"/>
          </w:tcPr>
          <w:p>
            <w:pPr>
              <w:spacing w:before="120"/>
              <w:rPr>
                <w:rFonts w:hint="eastAsia" w:ascii="华文细黑" w:hAnsi="华文细黑" w:eastAsia="华文细黑" w:cs="华文细黑"/>
                <w:lang w:val="en-US"/>
              </w:rPr>
            </w:pPr>
            <w:r>
              <w:rPr>
                <w:rFonts w:hint="eastAsia" w:ascii="华文细黑" w:hAnsi="华文细黑" w:eastAsia="华文细黑" w:cs="华文细黑"/>
              </w:rPr>
              <w:t>审核员：</w:t>
            </w:r>
            <w:r>
              <w:rPr>
                <w:rFonts w:hint="eastAsia" w:ascii="华文细黑" w:hAnsi="华文细黑" w:eastAsia="华文细黑" w:cs="华文细黑"/>
                <w:lang w:val="en-US" w:eastAsia="zh-CN"/>
              </w:rPr>
              <w:t>方小娥；</w:t>
            </w:r>
            <w:r>
              <w:rPr>
                <w:rFonts w:hint="eastAsia" w:ascii="华文细黑" w:hAnsi="华文细黑" w:eastAsia="华文细黑" w:cs="华文细黑"/>
              </w:rPr>
              <w:t>审核时间：</w:t>
            </w:r>
            <w:r>
              <w:rPr>
                <w:rFonts w:hint="eastAsia" w:ascii="华文细黑" w:hAnsi="华文细黑" w:eastAsia="华文细黑" w:cs="华文细黑"/>
                <w:lang w:val="en-US" w:eastAsia="zh-CN"/>
              </w:rPr>
              <w:t xml:space="preserve">2022.8.8 </w:t>
            </w:r>
            <w:r>
              <w:rPr>
                <w:rFonts w:hint="eastAsia" w:ascii="华文细黑" w:hAnsi="华文细黑" w:eastAsia="华文细黑" w:cs="华文细黑"/>
                <w:b w:val="0"/>
                <w:bCs w:val="0"/>
                <w:sz w:val="21"/>
                <w:szCs w:val="21"/>
                <w:lang w:val="en-US" w:eastAsia="zh-CN"/>
              </w:rPr>
              <w:t>13:30-17:00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rPr>
                <w:rFonts w:hint="eastAsia" w:ascii="华文细黑" w:hAnsi="华文细黑" w:eastAsia="华文细黑" w:cs="华文细黑"/>
              </w:rPr>
            </w:pPr>
          </w:p>
        </w:tc>
        <w:tc>
          <w:tcPr>
            <w:tcW w:w="998" w:type="dxa"/>
            <w:vMerge w:val="continue"/>
            <w:vAlign w:val="center"/>
          </w:tcPr>
          <w:p>
            <w:pPr>
              <w:rPr>
                <w:rFonts w:hint="eastAsia" w:ascii="华文细黑" w:hAnsi="华文细黑" w:eastAsia="华文细黑" w:cs="华文细黑"/>
              </w:rPr>
            </w:pPr>
          </w:p>
        </w:tc>
        <w:tc>
          <w:tcPr>
            <w:tcW w:w="10004" w:type="dxa"/>
            <w:vAlign w:val="center"/>
          </w:tcPr>
          <w:p>
            <w:pPr>
              <w:jc w:val="left"/>
              <w:rPr>
                <w:rFonts w:hint="eastAsia"/>
                <w:b w:val="0"/>
                <w:bCs w:val="0"/>
                <w:sz w:val="21"/>
                <w:szCs w:val="21"/>
                <w:u w:val="none"/>
                <w:lang w:val="en-US" w:eastAsia="zh-CN"/>
              </w:rPr>
            </w:pPr>
            <w:r>
              <w:rPr>
                <w:rFonts w:hint="eastAsia"/>
                <w:b w:val="0"/>
                <w:bCs w:val="0"/>
                <w:sz w:val="21"/>
                <w:szCs w:val="21"/>
                <w:u w:val="none"/>
                <w:lang w:val="en-US" w:eastAsia="zh-CN"/>
              </w:rPr>
              <w:t>审核内容：1.部门职能与权限</w:t>
            </w:r>
            <w:r>
              <w:rPr>
                <w:rFonts w:hint="eastAsia"/>
                <w:b w:val="0"/>
                <w:bCs w:val="0"/>
                <w:sz w:val="21"/>
                <w:szCs w:val="21"/>
                <w:u w:val="none"/>
                <w:lang w:eastAsia="zh-CN"/>
              </w:rPr>
              <w:t>；</w:t>
            </w:r>
            <w:r>
              <w:rPr>
                <w:rFonts w:hint="eastAsia"/>
                <w:b w:val="0"/>
                <w:bCs w:val="0"/>
                <w:sz w:val="21"/>
                <w:szCs w:val="21"/>
                <w:u w:val="none"/>
                <w:lang w:val="en-US" w:eastAsia="zh-CN"/>
              </w:rPr>
              <w:t>2.环境因素的汇总管理；3.合规义务及其合规性评价；4.部门E目标分解实施；5.E运行策划与控制的综合管理；6.应急准备和响应</w:t>
            </w:r>
          </w:p>
          <w:p>
            <w:pPr>
              <w:jc w:val="left"/>
              <w:rPr>
                <w:rFonts w:hint="default"/>
                <w:b w:val="0"/>
                <w:bCs w:val="0"/>
                <w:sz w:val="21"/>
                <w:szCs w:val="21"/>
                <w:u w:val="none"/>
                <w:lang w:val="en-US" w:eastAsia="zh-CN"/>
              </w:rPr>
            </w:pPr>
            <w:r>
              <w:rPr>
                <w:rFonts w:hint="eastAsia"/>
                <w:b w:val="0"/>
                <w:bCs w:val="0"/>
                <w:sz w:val="21"/>
                <w:szCs w:val="21"/>
                <w:u w:val="none"/>
                <w:lang w:val="en-US" w:eastAsia="zh-CN"/>
              </w:rPr>
              <w:t>涉及条款：E：5.3、</w:t>
            </w:r>
            <w:r>
              <w:rPr>
                <w:rFonts w:hint="eastAsia" w:ascii="Times New Roman" w:hAnsi="Times New Roman" w:eastAsia="宋体" w:cs="Times New Roman"/>
                <w:b w:val="0"/>
                <w:bCs w:val="0"/>
                <w:spacing w:val="10"/>
                <w:kern w:val="2"/>
                <w:sz w:val="21"/>
                <w:szCs w:val="21"/>
                <w:u w:val="none"/>
                <w:lang w:val="en-US" w:eastAsia="zh-CN" w:bidi="ar-SA"/>
              </w:rPr>
              <w:t>6.1.2</w:t>
            </w:r>
            <w:r>
              <w:rPr>
                <w:rFonts w:hint="eastAsia" w:cs="Times New Roman"/>
                <w:b w:val="0"/>
                <w:bCs w:val="0"/>
                <w:spacing w:val="10"/>
                <w:kern w:val="2"/>
                <w:sz w:val="21"/>
                <w:szCs w:val="21"/>
                <w:u w:val="none"/>
                <w:lang w:val="en-US" w:eastAsia="zh-CN" w:bidi="ar-SA"/>
              </w:rPr>
              <w:t>、</w:t>
            </w:r>
            <w:r>
              <w:rPr>
                <w:rFonts w:hint="eastAsia" w:ascii="Times New Roman" w:hAnsi="Times New Roman" w:eastAsia="宋体" w:cs="Times New Roman"/>
                <w:b w:val="0"/>
                <w:bCs w:val="0"/>
                <w:spacing w:val="10"/>
                <w:kern w:val="2"/>
                <w:sz w:val="21"/>
                <w:szCs w:val="21"/>
                <w:u w:val="none"/>
                <w:lang w:val="en-US" w:eastAsia="zh-CN" w:bidi="ar-SA"/>
              </w:rPr>
              <w:t>6.1.3/9.1.2</w:t>
            </w:r>
            <w:r>
              <w:rPr>
                <w:rFonts w:hint="eastAsia" w:cs="Times New Roman"/>
                <w:b w:val="0"/>
                <w:bCs w:val="0"/>
                <w:spacing w:val="10"/>
                <w:kern w:val="2"/>
                <w:sz w:val="21"/>
                <w:szCs w:val="21"/>
                <w:u w:val="none"/>
                <w:lang w:val="en-US" w:eastAsia="zh-CN" w:bidi="ar-SA"/>
              </w:rPr>
              <w:t>、</w:t>
            </w:r>
            <w:r>
              <w:rPr>
                <w:rFonts w:hint="eastAsia"/>
                <w:b w:val="0"/>
                <w:bCs w:val="0"/>
                <w:sz w:val="21"/>
                <w:szCs w:val="21"/>
                <w:u w:val="none"/>
                <w:lang w:val="en-US" w:eastAsia="zh-CN"/>
              </w:rPr>
              <w:t>6.2、</w:t>
            </w:r>
            <w:r>
              <w:rPr>
                <w:rFonts w:hint="eastAsia" w:cs="Times New Roman"/>
                <w:b w:val="0"/>
                <w:bCs w:val="0"/>
                <w:spacing w:val="10"/>
                <w:kern w:val="2"/>
                <w:sz w:val="21"/>
                <w:szCs w:val="21"/>
                <w:u w:val="none"/>
                <w:lang w:val="en-US" w:eastAsia="zh-CN" w:bidi="ar-SA"/>
              </w:rPr>
              <w:t>8.1、8.2、10.2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组织的岗位、职责和权限</w:t>
            </w:r>
          </w:p>
          <w:p>
            <w:pPr>
              <w:spacing w:line="280" w:lineRule="exact"/>
              <w:rPr>
                <w:rFonts w:hint="eastAsia" w:ascii="华文细黑" w:hAnsi="华文细黑" w:eastAsia="华文细黑" w:cs="华文细黑"/>
                <w:szCs w:val="21"/>
              </w:rPr>
            </w:pPr>
          </w:p>
        </w:tc>
        <w:tc>
          <w:tcPr>
            <w:tcW w:w="998"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E5.3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lang w:eastAsia="zh-CN"/>
              </w:rPr>
              <w:t>人事行政部</w:t>
            </w:r>
            <w:r>
              <w:rPr>
                <w:rFonts w:hint="eastAsia" w:ascii="宋体" w:hAnsi="宋体" w:cs="宋体"/>
                <w:szCs w:val="21"/>
              </w:rPr>
              <w:t>职责：⑴负责法律法规和相关要求、相关方的归口管理与控制；⑵负责文件、记录的控制；负责公司人员培训意识和能力的归口管理与控制；</w:t>
            </w:r>
            <w:bookmarkStart w:id="0" w:name="OLE_LINK18"/>
            <w:r>
              <w:rPr>
                <w:rFonts w:hint="eastAsia" w:ascii="宋体" w:hAnsi="宋体" w:cs="宋体"/>
                <w:szCs w:val="21"/>
              </w:rPr>
              <w:t>⑶</w:t>
            </w:r>
            <w:bookmarkEnd w:id="0"/>
            <w:r>
              <w:rPr>
                <w:rFonts w:hint="eastAsia" w:ascii="宋体" w:hAnsi="宋体" w:cs="宋体"/>
                <w:szCs w:val="21"/>
              </w:rPr>
              <w:t xml:space="preserve">负责环境因素和风险的识别与评价及运行控制，应急准备与响应工作等； ⑷协助领导做好各类会议的会务工作和落实会议作出的各项决定，负责会议记录；⑸协助和处理公司日常行政事务工作；负责重要来信来访的处理及信息沟通和协商等； </w:t>
            </w:r>
            <w:r>
              <w:rPr>
                <w:rFonts w:hint="eastAsia" w:ascii="宋体" w:hAnsi="宋体" w:cs="宋体"/>
                <w:szCs w:val="21"/>
              </w:rPr>
              <w:fldChar w:fldCharType="begin"/>
            </w:r>
            <w:r>
              <w:rPr>
                <w:rFonts w:hint="eastAsia" w:ascii="宋体" w:hAnsi="宋体" w:cs="宋体"/>
                <w:szCs w:val="21"/>
              </w:rPr>
              <w:instrText xml:space="preserve"> = 6 \* GB2 \* MERGEFORMAT </w:instrText>
            </w:r>
            <w:r>
              <w:rPr>
                <w:rFonts w:hint="eastAsia" w:ascii="宋体" w:hAnsi="宋体" w:cs="宋体"/>
                <w:szCs w:val="21"/>
              </w:rPr>
              <w:fldChar w:fldCharType="separate"/>
            </w:r>
            <w:r>
              <w:rPr>
                <w:rFonts w:hint="eastAsia" w:ascii="宋体" w:hAnsi="宋体" w:cs="宋体"/>
                <w:szCs w:val="21"/>
              </w:rPr>
              <w:t>⑹</w:t>
            </w:r>
            <w:r>
              <w:rPr>
                <w:rFonts w:hint="eastAsia" w:ascii="宋体" w:hAnsi="宋体" w:cs="宋体"/>
                <w:szCs w:val="21"/>
              </w:rPr>
              <w:fldChar w:fldCharType="end"/>
            </w:r>
            <w:r>
              <w:rPr>
                <w:rFonts w:hint="eastAsia" w:ascii="宋体" w:hAnsi="宋体" w:cs="宋体"/>
                <w:szCs w:val="21"/>
              </w:rPr>
              <w:t xml:space="preserve">协助体系推行人对目标指标、管理方案的实施进行监视和测量； </w:t>
            </w:r>
            <w:r>
              <w:rPr>
                <w:rFonts w:hint="eastAsia" w:ascii="宋体" w:hAnsi="宋体" w:cs="宋体"/>
                <w:szCs w:val="21"/>
              </w:rPr>
              <w:fldChar w:fldCharType="begin"/>
            </w:r>
            <w:r>
              <w:rPr>
                <w:rFonts w:hint="eastAsia" w:ascii="宋体" w:hAnsi="宋体" w:cs="宋体"/>
                <w:szCs w:val="21"/>
              </w:rPr>
              <w:instrText xml:space="preserve"> = 7 \* GB2 \* MERGEFORMAT </w:instrText>
            </w:r>
            <w:r>
              <w:rPr>
                <w:rFonts w:hint="eastAsia" w:ascii="宋体" w:hAnsi="宋体" w:cs="宋体"/>
                <w:szCs w:val="21"/>
              </w:rPr>
              <w:fldChar w:fldCharType="separate"/>
            </w:r>
            <w:r>
              <w:rPr>
                <w:rFonts w:hint="eastAsia" w:ascii="宋体" w:hAnsi="宋体" w:cs="宋体"/>
                <w:szCs w:val="21"/>
              </w:rPr>
              <w:t>⑺</w:t>
            </w:r>
            <w:r>
              <w:rPr>
                <w:rFonts w:hint="eastAsia" w:ascii="宋体" w:hAnsi="宋体" w:cs="宋体"/>
                <w:szCs w:val="21"/>
              </w:rPr>
              <w:fldChar w:fldCharType="end"/>
            </w:r>
            <w:r>
              <w:rPr>
                <w:rFonts w:hint="eastAsia" w:ascii="宋体" w:hAnsi="宋体" w:cs="宋体"/>
                <w:szCs w:val="21"/>
              </w:rPr>
              <w:t xml:space="preserve">配合做好内审和管理评审、做好纠正和预防措施等。 </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hint="default" w:ascii="华文细黑" w:hAnsi="华文细黑" w:eastAsia="华文细黑" w:cs="华文细黑"/>
                <w:szCs w:val="21"/>
                <w:lang w:val="en-US" w:eastAsia="zh-CN"/>
              </w:rPr>
            </w:pPr>
            <w:r>
              <w:rPr>
                <w:rFonts w:hint="eastAsia" w:ascii="华文细黑" w:hAnsi="华文细黑" w:eastAsia="华文细黑" w:cs="华文细黑"/>
                <w:szCs w:val="21"/>
              </w:rPr>
              <w:t>环境因素识别</w:t>
            </w:r>
            <w:r>
              <w:rPr>
                <w:rFonts w:hint="eastAsia" w:ascii="华文细黑" w:hAnsi="华文细黑" w:cs="华文细黑"/>
                <w:szCs w:val="21"/>
                <w:lang w:val="en-US" w:eastAsia="zh-CN"/>
              </w:rPr>
              <w:t>与控制</w:t>
            </w:r>
          </w:p>
        </w:tc>
        <w:tc>
          <w:tcPr>
            <w:tcW w:w="998"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E6.1.2</w:t>
            </w:r>
          </w:p>
        </w:tc>
        <w:tc>
          <w:tcPr>
            <w:tcW w:w="10004" w:type="dxa"/>
            <w:vAlign w:val="center"/>
          </w:tcPr>
          <w:p>
            <w:pPr>
              <w:spacing w:line="280" w:lineRule="exact"/>
              <w:ind w:firstLine="420" w:firstLineChars="200"/>
              <w:rPr>
                <w:szCs w:val="21"/>
              </w:rPr>
            </w:pPr>
            <w:r>
              <w:rPr>
                <w:rFonts w:hint="eastAsia"/>
                <w:szCs w:val="21"/>
              </w:rPr>
              <w:t>1)提供《</w:t>
            </w:r>
            <w:r>
              <w:rPr>
                <w:rFonts w:hint="eastAsia"/>
                <w:szCs w:val="21"/>
                <w:lang w:eastAsia="zh-CN"/>
              </w:rPr>
              <w:t>危险源和环境因素识别、评价控制程序</w:t>
            </w:r>
            <w:r>
              <w:rPr>
                <w:rFonts w:hint="eastAsia"/>
                <w:szCs w:val="21"/>
              </w:rPr>
              <w:t>》用以指导进行环境因素的识别、登记评价，以确定重要环境因素以及对环境因素的定期更新，环境因素的识别和确定考虑生命周期观点。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提供了《环境因素识别评价表-办公区域》，识别的环境因素标明时态、状态和对环境的影响，并指制定措施；经查阅识别出5</w:t>
            </w:r>
            <w:r>
              <w:rPr>
                <w:rFonts w:hint="eastAsia"/>
                <w:szCs w:val="21"/>
                <w:lang w:val="en-US" w:eastAsia="zh-CN"/>
              </w:rPr>
              <w:t>0</w:t>
            </w:r>
            <w:r>
              <w:rPr>
                <w:rFonts w:hint="eastAsia"/>
                <w:szCs w:val="21"/>
              </w:rPr>
              <w:t>项环境因素，对在办公活动中产生的纸张消耗、生活污水的排放、汽车行驶时噪音及喇叭声的排放等环境因素及考虑到环境管理体系发生变更时可能产生的环境因素。</w:t>
            </w:r>
          </w:p>
          <w:p>
            <w:pPr>
              <w:spacing w:line="280" w:lineRule="exact"/>
              <w:ind w:firstLine="420" w:firstLineChars="200"/>
              <w:rPr>
                <w:rFonts w:hint="default"/>
                <w:szCs w:val="21"/>
                <w:lang w:val="en-US"/>
              </w:rPr>
            </w:pPr>
            <w:r>
              <w:rPr>
                <w:rFonts w:hint="eastAsia"/>
                <w:szCs w:val="21"/>
              </w:rPr>
              <w:t>提供了“重要环境因素控制清单”：</w:t>
            </w:r>
            <w:r>
              <w:rPr>
                <w:rFonts w:hint="eastAsia"/>
                <w:szCs w:val="21"/>
                <w:lang w:eastAsia="zh-CN"/>
              </w:rPr>
              <w:t>人事行政部</w:t>
            </w:r>
            <w:r>
              <w:rPr>
                <w:rFonts w:hint="eastAsia"/>
                <w:szCs w:val="21"/>
              </w:rPr>
              <w:t>的重要环境因素：生活垃圾的废弃；由</w:t>
            </w:r>
            <w:r>
              <w:rPr>
                <w:rFonts w:hint="eastAsia"/>
                <w:szCs w:val="21"/>
                <w:lang w:val="en-US" w:eastAsia="zh-CN"/>
              </w:rPr>
              <w:t>临海市上东物业有限公司</w:t>
            </w:r>
            <w:r>
              <w:rPr>
                <w:rFonts w:hint="eastAsia"/>
                <w:szCs w:val="21"/>
              </w:rPr>
              <w:t>统一处理；针对重要环境因素，提供了环境+安全管理方案，内容包括：目标、问题点；执行步骤、期限、部门和预计投资和预期结果。编制：</w:t>
            </w:r>
            <w:r>
              <w:rPr>
                <w:rFonts w:hint="eastAsia"/>
                <w:lang w:eastAsia="zh-CN"/>
              </w:rPr>
              <w:t>陈跃明</w:t>
            </w:r>
            <w:r>
              <w:rPr>
                <w:rFonts w:hint="eastAsia"/>
              </w:rPr>
              <w:t xml:space="preserve"> </w:t>
            </w:r>
            <w:r>
              <w:rPr>
                <w:rFonts w:hint="eastAsia"/>
                <w:lang w:eastAsia="zh-CN"/>
              </w:rPr>
              <w:t>，</w:t>
            </w:r>
            <w:r>
              <w:rPr>
                <w:rFonts w:hint="eastAsia"/>
                <w:szCs w:val="21"/>
              </w:rPr>
              <w:t>批准：</w:t>
            </w:r>
            <w:r>
              <w:rPr>
                <w:rFonts w:hint="eastAsia"/>
                <w:lang w:eastAsia="zh-CN"/>
              </w:rPr>
              <w:t>王永法</w:t>
            </w:r>
            <w:r>
              <w:rPr>
                <w:rFonts w:hint="eastAsia"/>
              </w:rPr>
              <w:t xml:space="preserve"> </w:t>
            </w:r>
            <w:r>
              <w:rPr>
                <w:rFonts w:hint="eastAsia"/>
                <w:szCs w:val="21"/>
              </w:rPr>
              <w:t>日期：20</w:t>
            </w:r>
            <w:r>
              <w:rPr>
                <w:szCs w:val="21"/>
              </w:rPr>
              <w:t>2</w:t>
            </w:r>
            <w:r>
              <w:rPr>
                <w:rFonts w:hint="eastAsia"/>
                <w:szCs w:val="21"/>
              </w:rPr>
              <w:t>1</w:t>
            </w:r>
            <w:r>
              <w:rPr>
                <w:szCs w:val="21"/>
              </w:rPr>
              <w:t>.</w:t>
            </w:r>
            <w:r>
              <w:rPr>
                <w:rFonts w:hint="eastAsia"/>
                <w:szCs w:val="21"/>
                <w:lang w:val="en-US" w:eastAsia="zh-CN"/>
              </w:rPr>
              <w:t>1.20。</w:t>
            </w:r>
          </w:p>
          <w:p>
            <w:pPr>
              <w:spacing w:line="280" w:lineRule="exact"/>
              <w:ind w:firstLine="420" w:firstLineChars="200"/>
              <w:rPr>
                <w:szCs w:val="21"/>
              </w:rPr>
            </w:pPr>
            <w:r>
              <w:rPr>
                <w:rFonts w:hint="eastAsia"/>
                <w:szCs w:val="21"/>
              </w:rPr>
              <w:t>2）提供了公司制定《</w:t>
            </w:r>
            <w:r>
              <w:rPr>
                <w:rFonts w:hint="eastAsia"/>
                <w:szCs w:val="21"/>
                <w:lang w:eastAsia="zh-CN"/>
              </w:rPr>
              <w:t>危险源和环境因素识别、评价控制程序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提供了《危险源调查和评价表（办公活动）》，识别除</w:t>
            </w:r>
            <w:r>
              <w:rPr>
                <w:rFonts w:hint="eastAsia"/>
                <w:szCs w:val="21"/>
                <w:lang w:val="en-US" w:eastAsia="zh-CN"/>
              </w:rPr>
              <w:t>52</w:t>
            </w:r>
            <w:r>
              <w:rPr>
                <w:rFonts w:hint="eastAsia"/>
                <w:szCs w:val="21"/>
              </w:rPr>
              <w:t>项危险源，对活动场所产生的危险源辨识并进行风险评价，以确定控制措施，经查阅已辨识出上下班路上、出差交通事故、挤伤、摔伤，</w:t>
            </w:r>
            <w:r>
              <w:rPr>
                <w:rFonts w:hint="eastAsia"/>
                <w:szCs w:val="21"/>
                <w:lang w:val="en-US" w:eastAsia="zh-CN"/>
              </w:rPr>
              <w:t>潜在</w:t>
            </w:r>
            <w:r>
              <w:rPr>
                <w:rFonts w:hint="eastAsia"/>
                <w:szCs w:val="21"/>
              </w:rPr>
              <w:t>火灾、触电</w:t>
            </w:r>
            <w:r>
              <w:rPr>
                <w:rFonts w:hint="eastAsia"/>
                <w:szCs w:val="21"/>
                <w:lang w:eastAsia="zh-CN"/>
              </w:rPr>
              <w:t>，</w:t>
            </w:r>
            <w:r>
              <w:rPr>
                <w:rFonts w:hint="eastAsia"/>
                <w:szCs w:val="21"/>
              </w:rPr>
              <w:t>编制：</w:t>
            </w:r>
            <w:r>
              <w:rPr>
                <w:rFonts w:hint="eastAsia"/>
                <w:lang w:eastAsia="zh-CN"/>
              </w:rPr>
              <w:t>陈跃明</w:t>
            </w:r>
            <w:r>
              <w:rPr>
                <w:rFonts w:hint="eastAsia"/>
              </w:rPr>
              <w:t xml:space="preserve"> </w:t>
            </w:r>
            <w:r>
              <w:rPr>
                <w:rFonts w:hint="eastAsia"/>
                <w:lang w:eastAsia="zh-CN"/>
              </w:rPr>
              <w:t>，</w:t>
            </w:r>
            <w:r>
              <w:rPr>
                <w:rFonts w:hint="eastAsia"/>
                <w:szCs w:val="21"/>
              </w:rPr>
              <w:t>批准：</w:t>
            </w:r>
            <w:r>
              <w:rPr>
                <w:rFonts w:hint="eastAsia"/>
                <w:lang w:eastAsia="zh-CN"/>
              </w:rPr>
              <w:t>王永法</w:t>
            </w:r>
            <w:r>
              <w:rPr>
                <w:rFonts w:hint="eastAsia"/>
                <w:szCs w:val="21"/>
              </w:rPr>
              <w:t>2021.0</w:t>
            </w:r>
            <w:r>
              <w:rPr>
                <w:rFonts w:hint="eastAsia"/>
                <w:szCs w:val="21"/>
                <w:lang w:val="en-US" w:eastAsia="zh-CN"/>
              </w:rPr>
              <w:t>1.15</w:t>
            </w:r>
            <w:r>
              <w:rPr>
                <w:rFonts w:hint="eastAsia"/>
                <w:szCs w:val="21"/>
              </w:rPr>
              <w:t xml:space="preserve"> 。    </w:t>
            </w:r>
          </w:p>
          <w:p>
            <w:pPr>
              <w:spacing w:line="280" w:lineRule="exact"/>
              <w:ind w:firstLine="420" w:firstLineChars="200"/>
              <w:rPr>
                <w:b/>
                <w:szCs w:val="21"/>
              </w:rPr>
            </w:pPr>
            <w:r>
              <w:rPr>
                <w:rFonts w:hint="eastAsia"/>
                <w:szCs w:val="21"/>
              </w:rPr>
              <w:t>提供了《重要危险源清单》有：机械伤害、潜在、火灾发生、职业病（噪声聋）、物体打击、触电、等；针对只要危险源制定控制措施，提供了环境+安全管理方案，内容包括：目标、问题点；执行步骤、期限、部门和预计投资和预期结果。编制：</w:t>
            </w:r>
            <w:r>
              <w:rPr>
                <w:rFonts w:hint="eastAsia"/>
                <w:lang w:eastAsia="zh-CN"/>
              </w:rPr>
              <w:t>陈跃明</w:t>
            </w:r>
            <w:r>
              <w:rPr>
                <w:rFonts w:hint="eastAsia"/>
              </w:rPr>
              <w:t xml:space="preserve"> </w:t>
            </w:r>
            <w:r>
              <w:rPr>
                <w:rFonts w:hint="eastAsia"/>
                <w:lang w:eastAsia="zh-CN"/>
              </w:rPr>
              <w:t>，</w:t>
            </w:r>
            <w:r>
              <w:rPr>
                <w:rFonts w:hint="eastAsia"/>
                <w:szCs w:val="21"/>
              </w:rPr>
              <w:t>批准：</w:t>
            </w:r>
            <w:r>
              <w:rPr>
                <w:rFonts w:hint="eastAsia"/>
                <w:lang w:eastAsia="zh-CN"/>
              </w:rPr>
              <w:t>王永法</w:t>
            </w:r>
            <w:r>
              <w:rPr>
                <w:rFonts w:hint="eastAsia"/>
              </w:rPr>
              <w:t xml:space="preserve"> </w:t>
            </w:r>
            <w:r>
              <w:rPr>
                <w:rFonts w:hint="eastAsia"/>
                <w:szCs w:val="21"/>
              </w:rPr>
              <w:t>日期：2021.0</w:t>
            </w:r>
            <w:r>
              <w:rPr>
                <w:rFonts w:hint="eastAsia"/>
                <w:szCs w:val="21"/>
                <w:lang w:val="en-US" w:eastAsia="zh-CN"/>
              </w:rPr>
              <w:t>1.18</w:t>
            </w:r>
            <w:r>
              <w:rPr>
                <w:rFonts w:hint="eastAsia"/>
                <w:szCs w:val="21"/>
              </w:rPr>
              <w:t>。</w:t>
            </w:r>
          </w:p>
        </w:tc>
        <w:tc>
          <w:tcPr>
            <w:tcW w:w="1585" w:type="dxa"/>
          </w:tcPr>
          <w:p>
            <w:pPr>
              <w:pStyle w:val="2"/>
              <w:ind w:left="0" w:leftChars="0" w:firstLine="0" w:firstLineChars="0"/>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vAlign w:val="top"/>
          </w:tcPr>
          <w:p>
            <w:pPr>
              <w:spacing w:line="280" w:lineRule="exact"/>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Cs w:val="21"/>
              </w:rPr>
              <w:t>合规义务</w:t>
            </w:r>
            <w:r>
              <w:rPr>
                <w:rFonts w:hint="eastAsia" w:ascii="华文细黑" w:hAnsi="华文细黑" w:cs="华文细黑"/>
                <w:szCs w:val="21"/>
                <w:lang w:val="en-US" w:eastAsia="zh-CN"/>
              </w:rPr>
              <w:t>及其</w:t>
            </w:r>
            <w:r>
              <w:rPr>
                <w:rFonts w:hint="eastAsia" w:ascii="华文细黑" w:hAnsi="华文细黑" w:eastAsia="华文细黑" w:cs="华文细黑"/>
                <w:szCs w:val="21"/>
              </w:rPr>
              <w:t>合规性评价</w:t>
            </w:r>
          </w:p>
        </w:tc>
        <w:tc>
          <w:tcPr>
            <w:tcW w:w="998" w:type="dxa"/>
            <w:vAlign w:val="top"/>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E6.1.3</w:t>
            </w:r>
          </w:p>
          <w:p>
            <w:pPr>
              <w:spacing w:line="280" w:lineRule="exact"/>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Cs w:val="21"/>
                <w:lang w:val="en-US" w:eastAsia="zh-CN"/>
              </w:rPr>
              <w:t>/</w:t>
            </w:r>
            <w:r>
              <w:rPr>
                <w:rFonts w:hint="eastAsia" w:ascii="华文细黑" w:hAnsi="华文细黑" w:eastAsia="华文细黑" w:cs="华文细黑"/>
                <w:szCs w:val="21"/>
              </w:rPr>
              <w:t>9.1.2</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公司编制了《法律法规其他要求和合规性评价控制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环境和职业健康安全所涉及的《适用法律法规及其他要求一览表》，基本涵盖所涉及的各相关方。明确了对应的公司活动，对适用性、合规性等进行了评价，如</w:t>
            </w:r>
            <w:r>
              <w:rPr>
                <w:rFonts w:hint="eastAsia"/>
              </w:rPr>
              <w:t>工作场所有害因素职业接触限值（化学有害因素）</w:t>
            </w:r>
            <w:r>
              <w:rPr>
                <w:rFonts w:hint="eastAsia" w:ascii="宋体" w:hAnsi="宋体" w:cs="宋体"/>
                <w:szCs w:val="21"/>
              </w:rPr>
              <w:t xml:space="preserve"> 适用条款为全部条款等，明确了适用的公司活动为职业病事前预防、宣传教育、防范要求等过程，评价结果为符合要求。另外，提供了</w:t>
            </w:r>
            <w:r>
              <w:rPr>
                <w:rFonts w:hint="eastAsia" w:ascii="宋体" w:hAnsi="宋体" w:cs="宋体"/>
                <w:szCs w:val="21"/>
                <w:lang w:eastAsia="zh-CN"/>
              </w:rPr>
              <w:t>浙江绿安检测技术有限公司</w:t>
            </w:r>
            <w:r>
              <w:rPr>
                <w:rFonts w:hint="eastAsia" w:ascii="宋体" w:hAnsi="宋体" w:cs="宋体"/>
                <w:szCs w:val="21"/>
              </w:rPr>
              <w:t>2021年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9日对废水、废气、有组织废气</w:t>
            </w:r>
            <w:r>
              <w:rPr>
                <w:rFonts w:hint="eastAsia" w:ascii="宋体" w:hAnsi="宋体" w:cs="宋体"/>
                <w:szCs w:val="21"/>
                <w:lang w:eastAsia="zh-CN"/>
              </w:rPr>
              <w:t>、</w:t>
            </w:r>
            <w:r>
              <w:rPr>
                <w:rFonts w:hint="eastAsia" w:ascii="宋体" w:hAnsi="宋体" w:cs="宋体"/>
                <w:szCs w:val="21"/>
                <w:lang w:val="en-US" w:eastAsia="zh-CN"/>
              </w:rPr>
              <w:t>无组织废气</w:t>
            </w:r>
            <w:r>
              <w:rPr>
                <w:rFonts w:hint="eastAsia" w:ascii="宋体" w:hAnsi="宋体" w:cs="宋体"/>
                <w:szCs w:val="21"/>
              </w:rPr>
              <w:t>排放，基本符合。</w:t>
            </w:r>
          </w:p>
          <w:p>
            <w:pPr>
              <w:spacing w:line="280" w:lineRule="exact"/>
              <w:ind w:firstLine="420" w:firstLineChars="200"/>
              <w:rPr>
                <w:rFonts w:hint="eastAsia" w:ascii="宋体" w:hAnsi="宋体" w:eastAsia="华文细黑" w:cs="宋体"/>
                <w:kern w:val="2"/>
                <w:sz w:val="21"/>
                <w:szCs w:val="21"/>
                <w:lang w:val="en-US" w:eastAsia="zh-CN" w:bidi="ar-SA"/>
              </w:rPr>
            </w:pPr>
            <w:r>
              <w:rPr>
                <w:rFonts w:hint="eastAsia" w:ascii="宋体" w:hAnsi="宋体" w:cs="宋体"/>
                <w:szCs w:val="21"/>
              </w:rPr>
              <w:t>查《法律与其他要求清单》与产品要求有关的国家法律法规、标准，</w:t>
            </w:r>
            <w:r>
              <w:rPr>
                <w:rFonts w:hint="eastAsia"/>
                <w:szCs w:val="21"/>
                <w:u w:val="single"/>
              </w:rPr>
              <w:t>未对2021-6-10通过2021-9-1实施的《安全生产法》进行更新，且未识别、列入《特种设备安全法》、《个体防护装备选用规范》(GB-T11651-2008)等相关法律法规和其他要求</w:t>
            </w:r>
            <w:r>
              <w:rPr>
                <w:rFonts w:hint="eastAsia" w:ascii="宋体" w:hAnsi="宋体" w:cs="宋体"/>
                <w:szCs w:val="21"/>
              </w:rPr>
              <w:t>，开具不符合报告。</w:t>
            </w:r>
          </w:p>
        </w:tc>
        <w:tc>
          <w:tcPr>
            <w:tcW w:w="1585" w:type="dxa"/>
            <w:vAlign w:val="top"/>
          </w:tcPr>
          <w:p>
            <w:pPr>
              <w:rPr>
                <w:rFonts w:hint="eastAsia" w:ascii="Times New Roman" w:hAnsi="Times New Roman" w:eastAsia="华文细黑"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运行策划和控制</w:t>
            </w:r>
          </w:p>
          <w:p>
            <w:pPr>
              <w:spacing w:line="280" w:lineRule="exact"/>
              <w:rPr>
                <w:rFonts w:hint="eastAsia" w:ascii="华文细黑" w:hAnsi="华文细黑" w:eastAsia="华文细黑" w:cs="华文细黑"/>
                <w:b/>
                <w:szCs w:val="21"/>
              </w:rPr>
            </w:pPr>
          </w:p>
        </w:tc>
        <w:tc>
          <w:tcPr>
            <w:tcW w:w="998" w:type="dxa"/>
          </w:tcPr>
          <w:p>
            <w:pPr>
              <w:spacing w:line="280" w:lineRule="exact"/>
              <w:rPr>
                <w:rFonts w:hint="eastAsia" w:ascii="华文细黑" w:hAnsi="华文细黑" w:eastAsia="华文细黑" w:cs="华文细黑"/>
                <w:b/>
                <w:szCs w:val="21"/>
              </w:rPr>
            </w:pPr>
            <w:r>
              <w:rPr>
                <w:rFonts w:hint="eastAsia" w:ascii="华文细黑" w:hAnsi="华文细黑" w:eastAsia="华文细黑" w:cs="华文细黑"/>
                <w:szCs w:val="21"/>
              </w:rPr>
              <w:t>E8.1</w:t>
            </w:r>
          </w:p>
        </w:tc>
        <w:tc>
          <w:tcPr>
            <w:tcW w:w="10004" w:type="dxa"/>
            <w:vAlign w:val="center"/>
          </w:tcPr>
          <w:p>
            <w:pPr>
              <w:spacing w:line="280" w:lineRule="exact"/>
              <w:ind w:firstLine="421"/>
            </w:pPr>
            <w:r>
              <w:rPr>
                <w:rFonts w:hint="eastAsia"/>
              </w:rPr>
              <w:t>编制与环境、安全管理体系运行控制有关的文件有《环境运行控制程序》、《职业健康安全运行控制程序》、《相关方管理程序》等。</w:t>
            </w:r>
          </w:p>
          <w:p>
            <w:pPr>
              <w:spacing w:line="280" w:lineRule="exact"/>
              <w:ind w:firstLine="421"/>
            </w:pPr>
            <w:r>
              <w:rPr>
                <w:rFonts w:hint="eastAsia"/>
              </w:rPr>
              <w:t>1、废水管控</w:t>
            </w:r>
          </w:p>
          <w:p>
            <w:pPr>
              <w:spacing w:line="280" w:lineRule="exact"/>
              <w:ind w:firstLine="421"/>
            </w:pPr>
            <w:r>
              <w:rPr>
                <w:rFonts w:hint="eastAsia"/>
              </w:rPr>
              <w:t>主要生活废水排入政府污水管网统一处理。</w:t>
            </w:r>
          </w:p>
          <w:p>
            <w:pPr>
              <w:spacing w:line="280" w:lineRule="exact"/>
              <w:ind w:firstLine="421"/>
            </w:pPr>
            <w:r>
              <w:rPr>
                <w:rFonts w:hint="eastAsia"/>
              </w:rPr>
              <w:t>2、废气管控</w:t>
            </w:r>
          </w:p>
          <w:p>
            <w:pPr>
              <w:spacing w:line="280" w:lineRule="exact"/>
              <w:ind w:firstLine="421"/>
            </w:pPr>
            <w:r>
              <w:rPr>
                <w:rFonts w:hint="eastAsia"/>
              </w:rPr>
              <w:t>办公现场基本无废气排放。</w:t>
            </w:r>
          </w:p>
          <w:p>
            <w:pPr>
              <w:spacing w:line="280" w:lineRule="exact"/>
              <w:ind w:firstLine="421"/>
            </w:pPr>
            <w:r>
              <w:rPr>
                <w:rFonts w:hint="eastAsia"/>
              </w:rPr>
              <w:t>3、噪声管控</w:t>
            </w:r>
          </w:p>
          <w:p>
            <w:pPr>
              <w:spacing w:line="280" w:lineRule="exact"/>
              <w:ind w:firstLine="421"/>
              <w:rPr>
                <w:rFonts w:hint="eastAsia"/>
              </w:rPr>
            </w:pPr>
            <w:r>
              <w:rPr>
                <w:rFonts w:hint="eastAsia"/>
              </w:rPr>
              <w:t>办公噪声主要是复印机运行，噪声较低，采取措施按时清洁保养。</w:t>
            </w:r>
          </w:p>
          <w:p>
            <w:pPr>
              <w:ind w:firstLine="420" w:firstLineChars="200"/>
              <w:rPr>
                <w:rFonts w:hint="eastAsia" w:eastAsia="宋体"/>
                <w:szCs w:val="22"/>
              </w:rPr>
            </w:pPr>
            <w:r>
              <w:rPr>
                <w:rFonts w:hint="eastAsia" w:ascii="宋体" w:hAnsi="宋体" w:cs="宋体"/>
                <w:szCs w:val="21"/>
              </w:rPr>
              <w:t>查</w:t>
            </w:r>
            <w:r>
              <w:rPr>
                <w:rFonts w:hint="eastAsia"/>
              </w:rPr>
              <w:t>《职业病体检》编</w:t>
            </w:r>
            <w:r>
              <w:rPr>
                <w:rFonts w:hint="eastAsia" w:eastAsia="宋体"/>
                <w:szCs w:val="22"/>
              </w:rPr>
              <w:t>号：</w:t>
            </w:r>
            <w:r>
              <w:rPr>
                <w:rFonts w:hint="eastAsia" w:eastAsia="宋体"/>
                <w:szCs w:val="22"/>
                <w:lang w:val="en-US" w:eastAsia="zh-CN"/>
              </w:rPr>
              <w:t>Z0102121~123，提供了3份体检报告</w:t>
            </w:r>
            <w:r>
              <w:rPr>
                <w:rFonts w:hint="eastAsia" w:eastAsia="宋体"/>
                <w:szCs w:val="22"/>
              </w:rPr>
              <w:t xml:space="preserve"> ：</w:t>
            </w:r>
            <w:r>
              <w:rPr>
                <w:rFonts w:hint="eastAsia" w:eastAsia="宋体"/>
                <w:szCs w:val="22"/>
                <w:lang w:val="en-US" w:eastAsia="zh-CN"/>
              </w:rPr>
              <w:t>检测结论：无疑似职业病</w:t>
            </w:r>
            <w:r>
              <w:rPr>
                <w:rFonts w:hint="eastAsia" w:eastAsia="宋体"/>
                <w:szCs w:val="22"/>
              </w:rPr>
              <w:t>。</w:t>
            </w:r>
          </w:p>
          <w:p>
            <w:pPr>
              <w:ind w:firstLine="420" w:firstLineChars="200"/>
              <w:rPr>
                <w:rFonts w:hint="eastAsia" w:eastAsia="宋体"/>
                <w:szCs w:val="22"/>
              </w:rPr>
            </w:pPr>
            <w:r>
              <w:rPr>
                <w:rFonts w:hint="eastAsia" w:eastAsia="宋体"/>
                <w:szCs w:val="22"/>
              </w:rPr>
              <w:t>查噪声检测报告日期2021.</w:t>
            </w:r>
            <w:r>
              <w:rPr>
                <w:rFonts w:hint="eastAsia" w:eastAsia="宋体"/>
                <w:szCs w:val="22"/>
                <w:lang w:val="en-US" w:eastAsia="zh-CN"/>
              </w:rPr>
              <w:t>5</w:t>
            </w:r>
            <w:r>
              <w:rPr>
                <w:rFonts w:hint="eastAsia" w:eastAsia="宋体"/>
                <w:szCs w:val="22"/>
              </w:rPr>
              <w:t>.</w:t>
            </w:r>
            <w:r>
              <w:rPr>
                <w:rFonts w:hint="eastAsia" w:eastAsia="宋体"/>
                <w:szCs w:val="22"/>
                <w:lang w:val="en-US" w:eastAsia="zh-CN"/>
              </w:rPr>
              <w:t>19</w:t>
            </w:r>
            <w:r>
              <w:rPr>
                <w:rFonts w:hint="eastAsia" w:eastAsia="宋体"/>
                <w:szCs w:val="22"/>
              </w:rPr>
              <w:t xml:space="preserve"> ,委托检测机构</w:t>
            </w:r>
            <w:r>
              <w:rPr>
                <w:rFonts w:hint="eastAsia" w:eastAsia="宋体"/>
                <w:szCs w:val="22"/>
                <w:lang w:eastAsia="zh-CN"/>
              </w:rPr>
              <w:t>：</w:t>
            </w:r>
            <w:r>
              <w:rPr>
                <w:rFonts w:hint="eastAsia" w:eastAsia="宋体"/>
                <w:szCs w:val="22"/>
              </w:rPr>
              <w:t>浙江永汇检测科技有限公司，</w:t>
            </w:r>
            <w:r>
              <w:rPr>
                <w:rFonts w:hint="eastAsia" w:eastAsia="宋体"/>
                <w:szCs w:val="22"/>
                <w:lang w:val="en-US" w:eastAsia="zh-CN"/>
              </w:rPr>
              <w:t>检测结论：符合。生产过程无废气、废水</w:t>
            </w:r>
            <w:r>
              <w:rPr>
                <w:rFonts w:hint="eastAsia" w:eastAsia="宋体"/>
                <w:szCs w:val="22"/>
              </w:rPr>
              <w:t>。</w:t>
            </w:r>
          </w:p>
          <w:p>
            <w:pPr>
              <w:numPr>
                <w:ilvl w:val="0"/>
                <w:numId w:val="1"/>
              </w:numPr>
              <w:spacing w:line="280" w:lineRule="exact"/>
              <w:ind w:firstLine="421"/>
            </w:pPr>
            <w:r>
              <w:rPr>
                <w:rFonts w:hint="eastAsia"/>
              </w:rPr>
              <w:t>固废管控</w:t>
            </w:r>
          </w:p>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查2021.4与台州市德长环保有限公司签订的《危险废物处置合同》及补充合同，将公司危险固废：废机油、废活性炭、废油包装桶、废槽渣委托其处置，目前危化品仓库里存由少量废机油，暂未发生处理</w:t>
            </w:r>
            <w:r>
              <w:rPr>
                <w:rFonts w:hint="eastAsia" w:ascii="宋体" w:hAnsi="宋体" w:cs="宋体"/>
                <w:szCs w:val="21"/>
              </w:rPr>
              <w:t>。</w:t>
            </w:r>
          </w:p>
          <w:p>
            <w:pPr>
              <w:pStyle w:val="8"/>
              <w:numPr>
                <w:ilvl w:val="0"/>
                <w:numId w:val="0"/>
              </w:numPr>
              <w:ind w:left="420" w:leftChars="0"/>
            </w:pPr>
            <w:r>
              <w:rPr>
                <w:rFonts w:hint="eastAsia"/>
                <w:lang w:val="en-US" w:eastAsia="zh-CN"/>
              </w:rPr>
              <w:t>提供2021.3.3与临海市上东物业有限公司，就生活垃圾处理签订《垃圾清理协议书》，有效期至2021.3.18-2022.3.17。</w:t>
            </w:r>
          </w:p>
          <w:p>
            <w:pPr>
              <w:numPr>
                <w:ilvl w:val="0"/>
                <w:numId w:val="1"/>
              </w:numPr>
              <w:spacing w:line="280" w:lineRule="exact"/>
              <w:ind w:left="-1" w:leftChars="0" w:firstLine="421" w:firstLineChars="0"/>
              <w:rPr>
                <w:rFonts w:hint="eastAsia"/>
                <w:highlight w:val="none"/>
              </w:rPr>
            </w:pPr>
            <w:r>
              <w:rPr>
                <w:rFonts w:hint="eastAsia" w:eastAsia="宋体"/>
                <w:szCs w:val="22"/>
                <w:lang w:val="en-US" w:eastAsia="zh-CN"/>
              </w:rPr>
              <w:t>查</w:t>
            </w:r>
            <w:r>
              <w:rPr>
                <w:rFonts w:hint="eastAsia" w:eastAsia="宋体"/>
                <w:szCs w:val="22"/>
              </w:rPr>
              <w:t>《防雷检测报告》编号：</w:t>
            </w:r>
            <w:r>
              <w:rPr>
                <w:rFonts w:hint="eastAsia" w:eastAsia="宋体"/>
                <w:szCs w:val="22"/>
                <w:lang w:val="en-US" w:eastAsia="zh-CN"/>
              </w:rPr>
              <w:t>XZFL[ZJTZ]SJ200101号~</w:t>
            </w:r>
            <w:r>
              <w:rPr>
                <w:rFonts w:hint="eastAsia" w:eastAsia="宋体"/>
                <w:szCs w:val="22"/>
              </w:rPr>
              <w:t xml:space="preserve"> </w:t>
            </w:r>
            <w:r>
              <w:rPr>
                <w:rFonts w:hint="eastAsia" w:eastAsia="宋体"/>
                <w:szCs w:val="22"/>
                <w:lang w:val="en-US" w:eastAsia="zh-CN"/>
              </w:rPr>
              <w:t>XZFL[ZJTZ]SJ200108号，共八份报告。</w:t>
            </w:r>
            <w:r>
              <w:rPr>
                <w:rFonts w:hint="eastAsia"/>
                <w:highlight w:val="none"/>
              </w:rPr>
              <w:t>。</w:t>
            </w:r>
          </w:p>
          <w:p>
            <w:pPr>
              <w:pStyle w:val="2"/>
            </w:pPr>
            <w:r>
              <w:rPr>
                <w:rFonts w:hint="eastAsia"/>
              </w:rPr>
              <w:t>6、疫情期间进出公司人员进行温度登记，查看健康码，公司给员工发放口罩等劳保用品，不允许私拉乱扔，同时做好疫苗接种等工作，并提醒物业公司及时进行监控用电线电路的定期检查。</w:t>
            </w:r>
          </w:p>
          <w:p>
            <w:pPr>
              <w:pStyle w:val="2"/>
            </w:pPr>
            <w:r>
              <w:t>7</w:t>
            </w:r>
            <w:r>
              <w:rPr>
                <w:rFonts w:hint="eastAsia"/>
              </w:rPr>
              <w:t>、为员工缴纳社保。</w:t>
            </w:r>
          </w:p>
        </w:tc>
        <w:tc>
          <w:tcPr>
            <w:tcW w:w="1585" w:type="dxa"/>
          </w:tcPr>
          <w:p>
            <w:pPr>
              <w:pStyle w:val="2"/>
              <w:ind w:firstLine="0" w:firstLineChars="0"/>
            </w:pPr>
          </w:p>
          <w:p>
            <w:pPr>
              <w:pStyle w:val="2"/>
              <w:ind w:firstLine="0" w:firstLineChars="0"/>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hint="eastAsia" w:ascii="华文细黑" w:hAnsi="华文细黑" w:eastAsia="华文细黑" w:cs="华文细黑"/>
                <w:b/>
                <w:szCs w:val="21"/>
              </w:rPr>
            </w:pPr>
            <w:r>
              <w:rPr>
                <w:rFonts w:hint="eastAsia" w:ascii="华文细黑" w:hAnsi="华文细黑" w:eastAsia="华文细黑" w:cs="华文细黑"/>
                <w:szCs w:val="21"/>
              </w:rPr>
              <w:t>应急响应和准备</w:t>
            </w:r>
          </w:p>
        </w:tc>
        <w:tc>
          <w:tcPr>
            <w:tcW w:w="998"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E8.2</w:t>
            </w:r>
          </w:p>
        </w:tc>
        <w:tc>
          <w:tcPr>
            <w:tcW w:w="10004" w:type="dxa"/>
            <w:vAlign w:val="center"/>
          </w:tcPr>
          <w:p>
            <w:pPr>
              <w:rPr>
                <w:szCs w:val="21"/>
              </w:rPr>
            </w:pPr>
            <w:r>
              <w:rPr>
                <w:rFonts w:hint="eastAsia"/>
                <w:szCs w:val="21"/>
              </w:rPr>
              <w:t>编制了《</w:t>
            </w:r>
            <w:r>
              <w:rPr>
                <w:rFonts w:hint="eastAsia"/>
                <w:szCs w:val="21"/>
                <w:lang w:eastAsia="zh-CN"/>
              </w:rPr>
              <w:t>应急准备和响应程序</w:t>
            </w:r>
            <w:r>
              <w:rPr>
                <w:rFonts w:hint="eastAsia"/>
                <w:szCs w:val="21"/>
              </w:rPr>
              <w:t>》，查看内容基本符合要求。</w:t>
            </w:r>
          </w:p>
          <w:p>
            <w:pPr>
              <w:rPr>
                <w:szCs w:val="21"/>
              </w:rPr>
            </w:pPr>
            <w:r>
              <w:rPr>
                <w:rFonts w:hint="eastAsia"/>
                <w:szCs w:val="21"/>
              </w:rPr>
              <w:t>策划成立了义务消防队，包括</w:t>
            </w:r>
            <w:r>
              <w:rPr>
                <w:rFonts w:hint="eastAsia" w:ascii="宋体" w:hAnsi="宋体"/>
                <w:szCs w:val="21"/>
                <w:lang w:eastAsia="zh-CN"/>
              </w:rPr>
              <w:t>李凡兴、刘盛东、王永法、陈跃明、王一全、马锐、单梦云、杨海青、徐如章、李伟、杨世兵</w:t>
            </w:r>
            <w:r>
              <w:rPr>
                <w:rFonts w:hint="eastAsia"/>
                <w:szCs w:val="21"/>
              </w:rPr>
              <w:t>；应急预案包括紧急应变处理流程图、触电、火灾、中暑应急预案等应急预案。通过以上评估，公司应急预案的制定基本合理。</w:t>
            </w:r>
          </w:p>
          <w:p>
            <w:pPr>
              <w:rPr>
                <w:szCs w:val="21"/>
              </w:rPr>
            </w:pPr>
            <w:r>
              <w:rPr>
                <w:rFonts w:hint="eastAsia"/>
                <w:szCs w:val="21"/>
              </w:rPr>
              <w:t>公司进行了消防灭火演练，查应急演练记录。提供了2</w:t>
            </w:r>
            <w:r>
              <w:rPr>
                <w:szCs w:val="21"/>
              </w:rPr>
              <w:t>02</w:t>
            </w:r>
            <w:r>
              <w:rPr>
                <w:rFonts w:hint="eastAsia"/>
                <w:szCs w:val="21"/>
                <w:lang w:val="en-US" w:eastAsia="zh-CN"/>
              </w:rPr>
              <w:t>1</w:t>
            </w:r>
            <w:r>
              <w:rPr>
                <w:szCs w:val="21"/>
              </w:rPr>
              <w:t>.</w:t>
            </w:r>
            <w:r>
              <w:rPr>
                <w:rFonts w:hint="eastAsia"/>
                <w:szCs w:val="21"/>
                <w:lang w:val="en-US" w:eastAsia="zh-CN"/>
              </w:rPr>
              <w:t>5</w:t>
            </w:r>
            <w:r>
              <w:rPr>
                <w:szCs w:val="21"/>
              </w:rPr>
              <w:t>.</w:t>
            </w:r>
            <w:r>
              <w:rPr>
                <w:rFonts w:hint="eastAsia"/>
                <w:szCs w:val="21"/>
                <w:lang w:val="en-US" w:eastAsia="zh-CN"/>
              </w:rPr>
              <w:t>6</w:t>
            </w:r>
            <w:r>
              <w:rPr>
                <w:rFonts w:hint="eastAsia"/>
                <w:szCs w:val="21"/>
              </w:rPr>
              <w:t>消防灭火演练，参加人员包括总指挥</w:t>
            </w:r>
            <w:r>
              <w:rPr>
                <w:rFonts w:hint="eastAsia" w:ascii="宋体" w:hAnsi="宋体"/>
                <w:szCs w:val="21"/>
                <w:lang w:eastAsia="zh-CN"/>
              </w:rPr>
              <w:t>王永法</w:t>
            </w:r>
            <w:r>
              <w:rPr>
                <w:rFonts w:hint="eastAsia"/>
                <w:szCs w:val="21"/>
              </w:rPr>
              <w:t>，策划</w:t>
            </w:r>
            <w:r>
              <w:rPr>
                <w:rFonts w:hint="eastAsia" w:ascii="宋体" w:hAnsi="宋体"/>
                <w:szCs w:val="21"/>
                <w:lang w:eastAsia="zh-CN"/>
              </w:rPr>
              <w:t>陈跃明</w:t>
            </w:r>
            <w:r>
              <w:rPr>
                <w:rFonts w:hint="eastAsia"/>
                <w:szCs w:val="21"/>
              </w:rPr>
              <w:t>，员工</w:t>
            </w:r>
            <w:r>
              <w:rPr>
                <w:rFonts w:hint="eastAsia" w:ascii="宋体" w:hAnsi="宋体"/>
                <w:szCs w:val="21"/>
                <w:lang w:eastAsia="zh-CN"/>
              </w:rPr>
              <w:t xml:space="preserve"> 马锐、单梦云、杨海青、徐如章、李伟、杨世兵</w:t>
            </w:r>
            <w:r>
              <w:rPr>
                <w:rFonts w:hint="eastAsia"/>
                <w:szCs w:val="21"/>
              </w:rPr>
              <w:t>等员工，记录了演练过程，存在的问题主要为要加强消防技能的的培训，普及全体员工的防火意识。并进行了总结评估。</w:t>
            </w:r>
          </w:p>
          <w:p>
            <w:pPr>
              <w:spacing w:line="280" w:lineRule="exact"/>
              <w:ind w:firstLine="420" w:firstLineChars="200"/>
              <w:rPr>
                <w:rFonts w:ascii="宋体" w:hAnsi="宋体" w:cs="宋体"/>
                <w:szCs w:val="21"/>
              </w:rPr>
            </w:pPr>
            <w:r>
              <w:rPr>
                <w:rFonts w:hint="eastAsia"/>
                <w:szCs w:val="21"/>
              </w:rPr>
              <w:t>目前没有发生需响应的突发情况。应急管理基本符合要求要求。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vAlign w:val="top"/>
          </w:tcPr>
          <w:p>
            <w:pPr>
              <w:adjustRightInd w:val="0"/>
              <w:snapToGrid w:val="0"/>
              <w:spacing w:line="280" w:lineRule="exact"/>
              <w:rPr>
                <w:rFonts w:hint="eastAsia" w:ascii="华文细黑" w:hAnsi="华文细黑" w:eastAsia="华文细黑" w:cs="华文细黑"/>
                <w:spacing w:val="-12"/>
                <w:szCs w:val="21"/>
              </w:rPr>
            </w:pPr>
            <w:r>
              <w:rPr>
                <w:rFonts w:hint="eastAsia" w:ascii="华文细黑" w:hAnsi="华文细黑" w:eastAsia="华文细黑" w:cs="华文细黑"/>
                <w:spacing w:val="-12"/>
                <w:szCs w:val="21"/>
              </w:rPr>
              <w:t>不合格和纠正措施</w:t>
            </w:r>
          </w:p>
          <w:p>
            <w:pPr>
              <w:spacing w:line="280" w:lineRule="exact"/>
              <w:rPr>
                <w:rFonts w:hint="eastAsia" w:ascii="华文细黑" w:hAnsi="华文细黑" w:eastAsia="华文细黑" w:cs="华文细黑"/>
                <w:kern w:val="2"/>
                <w:sz w:val="21"/>
                <w:szCs w:val="21"/>
                <w:lang w:val="en-US" w:eastAsia="zh-CN" w:bidi="ar-SA"/>
              </w:rPr>
            </w:pPr>
          </w:p>
        </w:tc>
        <w:tc>
          <w:tcPr>
            <w:tcW w:w="998" w:type="dxa"/>
            <w:vAlign w:val="top"/>
          </w:tcPr>
          <w:p>
            <w:pPr>
              <w:spacing w:line="280" w:lineRule="exact"/>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Cs w:val="21"/>
              </w:rPr>
              <w:t>E10.2</w:t>
            </w:r>
          </w:p>
        </w:tc>
        <w:tc>
          <w:tcPr>
            <w:tcW w:w="10004" w:type="dxa"/>
            <w:vAlign w:val="center"/>
          </w:tcPr>
          <w:p>
            <w:pPr>
              <w:snapToGrid w:val="0"/>
              <w:spacing w:line="280" w:lineRule="exact"/>
              <w:ind w:firstLine="420" w:firstLineChars="200"/>
              <w:jc w:val="left"/>
              <w:rPr>
                <w:szCs w:val="21"/>
              </w:rPr>
            </w:pPr>
            <w:r>
              <w:rPr>
                <w:rFonts w:hint="eastAsia"/>
                <w:szCs w:val="21"/>
              </w:rPr>
              <w:t>负责人介绍公司在运行过程中对发现的不合格都会采取纠正、纠正措施以防止不合格或不符合再次发生，同时也会举一反三地看待其他部门或类似过程，采取预防措施以防止发生不合格或不符合。 公司内审时发现的</w:t>
            </w:r>
            <w:r>
              <w:rPr>
                <w:szCs w:val="21"/>
              </w:rPr>
              <w:t>3</w:t>
            </w:r>
            <w:r>
              <w:rPr>
                <w:rFonts w:hint="eastAsia"/>
                <w:szCs w:val="21"/>
              </w:rPr>
              <w:t>项不符合项进行了原因分析、纠正措施和验证。</w:t>
            </w:r>
          </w:p>
          <w:p>
            <w:pPr>
              <w:snapToGrid w:val="0"/>
              <w:spacing w:line="280" w:lineRule="exact"/>
              <w:ind w:firstLine="420" w:firstLineChars="200"/>
              <w:jc w:val="left"/>
              <w:rPr>
                <w:szCs w:val="21"/>
              </w:rPr>
            </w:pPr>
            <w:r>
              <w:rPr>
                <w:rFonts w:hint="eastAsia"/>
                <w:szCs w:val="21"/>
              </w:rPr>
              <w:t>公司对纠正措施的管理基本符合要求。</w:t>
            </w:r>
          </w:p>
          <w:p>
            <w:pPr>
              <w:snapToGrid w:val="0"/>
              <w:spacing w:line="280" w:lineRule="exact"/>
              <w:ind w:firstLine="420" w:firstLineChars="200"/>
              <w:jc w:val="left"/>
              <w:rPr>
                <w:rFonts w:ascii="Times New Roman" w:hAnsi="Times New Roman" w:eastAsia="华文细黑" w:cs="Times New Roman"/>
                <w:kern w:val="2"/>
                <w:sz w:val="21"/>
                <w:szCs w:val="21"/>
                <w:lang w:val="en-US" w:eastAsia="zh-CN" w:bidi="ar-SA"/>
              </w:rPr>
            </w:pPr>
            <w:r>
              <w:rPr>
                <w:rFonts w:hint="eastAsia"/>
                <w:szCs w:val="21"/>
              </w:rPr>
              <w:t>审核周期内，没有发生环境或职业健康安全方面的事故。</w:t>
            </w:r>
          </w:p>
        </w:tc>
        <w:tc>
          <w:tcPr>
            <w:tcW w:w="1585" w:type="dxa"/>
            <w:vAlign w:val="top"/>
          </w:tcPr>
          <w:p>
            <w:pPr>
              <w:rPr>
                <w:rFonts w:ascii="Times New Roman" w:hAnsi="Times New Roman" w:eastAsia="华文细黑" w:cs="Times New Roman"/>
                <w:kern w:val="2"/>
                <w:sz w:val="21"/>
                <w:lang w:val="en-US" w:eastAsia="zh-CN" w:bidi="ar-SA"/>
              </w:rPr>
            </w:pPr>
            <w:r>
              <w:rPr>
                <w:rFonts w:hint="eastAsia"/>
              </w:rPr>
              <w:t>Y</w:t>
            </w: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bookmarkStart w:id="1" w:name="_GoBack"/>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bookmarkEnd w:id="1"/>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path/>
              <v:fill focussize="0,0"/>
              <v:stroke on="f" joinstyle="miter"/>
              <v:imagedata o:title=""/>
              <o:lock v:ext="edit"/>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56" w:firstLineChars="400"/>
      <w:jc w:val="left"/>
    </w:pP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A6F1B"/>
    <w:multiLevelType w:val="singleLevel"/>
    <w:tmpl w:val="F35A6F1B"/>
    <w:lvl w:ilvl="0" w:tentative="0">
      <w:start w:val="4"/>
      <w:numFmt w:val="decimal"/>
      <w:suff w:val="nothing"/>
      <w:lvlText w:val="%1、"/>
      <w:lvlJc w:val="left"/>
      <w:pPr>
        <w:ind w:left="-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814B16"/>
    <w:rsid w:val="00011ABE"/>
    <w:rsid w:val="000476DE"/>
    <w:rsid w:val="00076C21"/>
    <w:rsid w:val="00077C88"/>
    <w:rsid w:val="000A75BA"/>
    <w:rsid w:val="000B0CD5"/>
    <w:rsid w:val="000B6409"/>
    <w:rsid w:val="000C453A"/>
    <w:rsid w:val="000F1325"/>
    <w:rsid w:val="000F14E3"/>
    <w:rsid w:val="00115E0C"/>
    <w:rsid w:val="00121BF2"/>
    <w:rsid w:val="001311B9"/>
    <w:rsid w:val="00133E72"/>
    <w:rsid w:val="00140940"/>
    <w:rsid w:val="00140A69"/>
    <w:rsid w:val="0016036E"/>
    <w:rsid w:val="0017329E"/>
    <w:rsid w:val="001937C7"/>
    <w:rsid w:val="001945D7"/>
    <w:rsid w:val="001A05B6"/>
    <w:rsid w:val="001A3B63"/>
    <w:rsid w:val="001C2319"/>
    <w:rsid w:val="001C57A3"/>
    <w:rsid w:val="001F0E7B"/>
    <w:rsid w:val="002533F4"/>
    <w:rsid w:val="00280E26"/>
    <w:rsid w:val="00287457"/>
    <w:rsid w:val="002B1F69"/>
    <w:rsid w:val="002B36EC"/>
    <w:rsid w:val="002C22A6"/>
    <w:rsid w:val="002C7A45"/>
    <w:rsid w:val="002E14F1"/>
    <w:rsid w:val="002E29A0"/>
    <w:rsid w:val="002E55EA"/>
    <w:rsid w:val="002F05BD"/>
    <w:rsid w:val="003015FB"/>
    <w:rsid w:val="003079AF"/>
    <w:rsid w:val="003273C2"/>
    <w:rsid w:val="003445A0"/>
    <w:rsid w:val="00382525"/>
    <w:rsid w:val="00384FEF"/>
    <w:rsid w:val="00397D3F"/>
    <w:rsid w:val="003C254E"/>
    <w:rsid w:val="003E434A"/>
    <w:rsid w:val="0042030E"/>
    <w:rsid w:val="0043712F"/>
    <w:rsid w:val="004450A7"/>
    <w:rsid w:val="0047490C"/>
    <w:rsid w:val="004819AB"/>
    <w:rsid w:val="004B20B2"/>
    <w:rsid w:val="004D14C1"/>
    <w:rsid w:val="004D6FC5"/>
    <w:rsid w:val="004E6448"/>
    <w:rsid w:val="004E7665"/>
    <w:rsid w:val="004F4E79"/>
    <w:rsid w:val="00503F34"/>
    <w:rsid w:val="005074C4"/>
    <w:rsid w:val="00507E17"/>
    <w:rsid w:val="00516205"/>
    <w:rsid w:val="00532DE5"/>
    <w:rsid w:val="00551E35"/>
    <w:rsid w:val="0056074B"/>
    <w:rsid w:val="00567182"/>
    <w:rsid w:val="005A2330"/>
    <w:rsid w:val="005A23B2"/>
    <w:rsid w:val="005B6C34"/>
    <w:rsid w:val="005D2531"/>
    <w:rsid w:val="005F0BF3"/>
    <w:rsid w:val="00607170"/>
    <w:rsid w:val="00621EA2"/>
    <w:rsid w:val="006256EF"/>
    <w:rsid w:val="00646303"/>
    <w:rsid w:val="0066353B"/>
    <w:rsid w:val="00672093"/>
    <w:rsid w:val="00672CC5"/>
    <w:rsid w:val="00680222"/>
    <w:rsid w:val="006842EC"/>
    <w:rsid w:val="006A75D1"/>
    <w:rsid w:val="006E4E1C"/>
    <w:rsid w:val="006F2650"/>
    <w:rsid w:val="006F2C8A"/>
    <w:rsid w:val="00715292"/>
    <w:rsid w:val="007469D5"/>
    <w:rsid w:val="0075560B"/>
    <w:rsid w:val="00756C63"/>
    <w:rsid w:val="00761387"/>
    <w:rsid w:val="00774749"/>
    <w:rsid w:val="007861D2"/>
    <w:rsid w:val="007A0504"/>
    <w:rsid w:val="007B4E33"/>
    <w:rsid w:val="007C4E24"/>
    <w:rsid w:val="007C5A7D"/>
    <w:rsid w:val="007C6A31"/>
    <w:rsid w:val="007D7CBB"/>
    <w:rsid w:val="007E6050"/>
    <w:rsid w:val="00814B16"/>
    <w:rsid w:val="008242EA"/>
    <w:rsid w:val="008265BB"/>
    <w:rsid w:val="00834CE8"/>
    <w:rsid w:val="0085042B"/>
    <w:rsid w:val="008631F9"/>
    <w:rsid w:val="0088726D"/>
    <w:rsid w:val="00894521"/>
    <w:rsid w:val="008A1509"/>
    <w:rsid w:val="008B3B2F"/>
    <w:rsid w:val="008C01A2"/>
    <w:rsid w:val="008D2E87"/>
    <w:rsid w:val="008D3475"/>
    <w:rsid w:val="0092791F"/>
    <w:rsid w:val="00954D65"/>
    <w:rsid w:val="00955C0E"/>
    <w:rsid w:val="00976860"/>
    <w:rsid w:val="00980972"/>
    <w:rsid w:val="00991AEB"/>
    <w:rsid w:val="009977CF"/>
    <w:rsid w:val="009B1072"/>
    <w:rsid w:val="009E3AE2"/>
    <w:rsid w:val="00A01526"/>
    <w:rsid w:val="00A30F85"/>
    <w:rsid w:val="00A52229"/>
    <w:rsid w:val="00A5728B"/>
    <w:rsid w:val="00A676B7"/>
    <w:rsid w:val="00A76F84"/>
    <w:rsid w:val="00A86196"/>
    <w:rsid w:val="00A94706"/>
    <w:rsid w:val="00AE6698"/>
    <w:rsid w:val="00B007F3"/>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10BBD"/>
    <w:rsid w:val="00D41A0A"/>
    <w:rsid w:val="00D6037A"/>
    <w:rsid w:val="00D76E1D"/>
    <w:rsid w:val="00D83619"/>
    <w:rsid w:val="00D937E0"/>
    <w:rsid w:val="00DE1A2C"/>
    <w:rsid w:val="00DE2FCE"/>
    <w:rsid w:val="00DF19AB"/>
    <w:rsid w:val="00E0114F"/>
    <w:rsid w:val="00E11BD3"/>
    <w:rsid w:val="00E17655"/>
    <w:rsid w:val="00E219A3"/>
    <w:rsid w:val="00E41911"/>
    <w:rsid w:val="00E556FE"/>
    <w:rsid w:val="00E944DC"/>
    <w:rsid w:val="00E97654"/>
    <w:rsid w:val="00EA2EA2"/>
    <w:rsid w:val="00EB1A5C"/>
    <w:rsid w:val="00EB6AAC"/>
    <w:rsid w:val="00ED41DC"/>
    <w:rsid w:val="00F01F3E"/>
    <w:rsid w:val="00F05246"/>
    <w:rsid w:val="00F11424"/>
    <w:rsid w:val="00F13731"/>
    <w:rsid w:val="00F43CC1"/>
    <w:rsid w:val="00F5455B"/>
    <w:rsid w:val="00F62C59"/>
    <w:rsid w:val="00F75FE8"/>
    <w:rsid w:val="00F97810"/>
    <w:rsid w:val="00FB5026"/>
    <w:rsid w:val="00FB6FAA"/>
    <w:rsid w:val="00FF0A51"/>
    <w:rsid w:val="00FF1D21"/>
    <w:rsid w:val="02254EC7"/>
    <w:rsid w:val="02BC2E4D"/>
    <w:rsid w:val="032D0216"/>
    <w:rsid w:val="0602013E"/>
    <w:rsid w:val="0A755CD1"/>
    <w:rsid w:val="0C976FDA"/>
    <w:rsid w:val="11B844E6"/>
    <w:rsid w:val="125E771B"/>
    <w:rsid w:val="1B9D35F1"/>
    <w:rsid w:val="23FF4344"/>
    <w:rsid w:val="27945E35"/>
    <w:rsid w:val="293F05ED"/>
    <w:rsid w:val="2B522350"/>
    <w:rsid w:val="2D481A7F"/>
    <w:rsid w:val="2EE8445D"/>
    <w:rsid w:val="2F87606E"/>
    <w:rsid w:val="30F370A1"/>
    <w:rsid w:val="31200DC9"/>
    <w:rsid w:val="36E645BD"/>
    <w:rsid w:val="36E9459B"/>
    <w:rsid w:val="40200850"/>
    <w:rsid w:val="44534FFF"/>
    <w:rsid w:val="44583C20"/>
    <w:rsid w:val="46827F5C"/>
    <w:rsid w:val="46A97E54"/>
    <w:rsid w:val="47CE0EBF"/>
    <w:rsid w:val="4A73056F"/>
    <w:rsid w:val="4AC26056"/>
    <w:rsid w:val="4B6A0AC5"/>
    <w:rsid w:val="4CBE661B"/>
    <w:rsid w:val="4D000E10"/>
    <w:rsid w:val="4DED56EF"/>
    <w:rsid w:val="4FB61711"/>
    <w:rsid w:val="50F66392"/>
    <w:rsid w:val="539B3F15"/>
    <w:rsid w:val="543B096F"/>
    <w:rsid w:val="552C5634"/>
    <w:rsid w:val="55E97944"/>
    <w:rsid w:val="57F378C0"/>
    <w:rsid w:val="5B0E50C4"/>
    <w:rsid w:val="66A77424"/>
    <w:rsid w:val="67476E4E"/>
    <w:rsid w:val="693F01DF"/>
    <w:rsid w:val="696F23B3"/>
    <w:rsid w:val="6D3B6417"/>
    <w:rsid w:val="6DC252F8"/>
    <w:rsid w:val="747D06DB"/>
    <w:rsid w:val="750F1D04"/>
    <w:rsid w:val="755525E9"/>
    <w:rsid w:val="763A1C6A"/>
    <w:rsid w:val="769A7E7D"/>
    <w:rsid w:val="770B1A7F"/>
    <w:rsid w:val="7C8E5A9B"/>
    <w:rsid w:val="7FE360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细黑"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Char"/>
    <w:basedOn w:val="1"/>
    <w:qFormat/>
    <w:uiPriority w:val="0"/>
    <w:rPr>
      <w:rFonts w:ascii="仿宋_GB2312" w:eastAsia="仿宋_GB2312"/>
      <w:b/>
      <w:sz w:val="32"/>
      <w:szCs w:val="32"/>
    </w:rPr>
  </w:style>
  <w:style w:type="paragraph" w:customStyle="1" w:styleId="14">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829</Words>
  <Characters>4728</Characters>
  <Lines>39</Lines>
  <Paragraphs>11</Paragraphs>
  <TotalTime>0</TotalTime>
  <ScaleCrop>false</ScaleCrop>
  <LinksUpToDate>false</LinksUpToDate>
  <CharactersWithSpaces>5546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2021-04-29T10:46:00Z</dcterms:created>
  <dc:creator>微软用户</dc:creator>
  <cp:lastModifiedBy>wangxianhua</cp:lastModifiedBy>
  <dcterms:modified xsi:type="dcterms:W3CDTF">2022-08-06T08:30:47Z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621554457884419182C7443C429D7D26</vt:lpwstr>
  </property>
</Properties>
</file>