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浙江威罗德汽配股份有限公司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hint="default" w:ascii="宋体" w:hAnsi="宋体"/>
                <w:b/>
                <w:sz w:val="22"/>
                <w:szCs w:val="22"/>
                <w:lang w:val="en-US"/>
              </w:rPr>
            </w:pPr>
            <w:bookmarkStart w:id="21" w:name="_GoBack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现场查看《安全管理适用法律、法规及其他要求一览表》、《环境管理适用法律、法规及其他要求一览表》部分法律法规未更新，如：《中华人民共和国安全生产法》、《中华人民共和国环境噪声污染防治法》等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未录入《GB/T29639-2020 生产经营单位生产安全事故应急预案编制导则》</w:t>
            </w:r>
          </w:p>
          <w:bookmarkEnd w:id="21"/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bookmarkStart w:id="20" w:name="总组长"/>
            <w:r>
              <w:rPr>
                <w:rFonts w:hint="eastAsia" w:ascii="方正仿宋简体" w:eastAsia="方正仿宋简体"/>
                <w:b/>
                <w:sz w:val="24"/>
              </w:rPr>
              <w:t>张磊</w:t>
            </w:r>
            <w:bookmarkEnd w:id="20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7C8E1E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379</Words>
  <Characters>548</Characters>
  <Lines>6</Lines>
  <Paragraphs>1</Paragraphs>
  <TotalTime>3</TotalTime>
  <ScaleCrop>false</ScaleCrop>
  <LinksUpToDate>false</LinksUpToDate>
  <CharactersWithSpaces>812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2022-08-13T03:13:22Z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2052-11.1.0.12302</vt:lpwstr>
  </property>
</Properties>
</file>