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采购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主管领导： 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赖春霞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蒋世鳌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de-DE"/>
              </w:rPr>
              <w:t xml:space="preserve">EMS-2015 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de-DE"/>
              </w:rPr>
              <w:t>ISO 45001：2018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赖春霞科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与部门负责人沟通，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赖夏春科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长了解本部门的职责权限。</w:t>
            </w:r>
          </w:p>
        </w:tc>
        <w:tc>
          <w:tcPr>
            <w:tcW w:w="1585" w:type="dxa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办公场所分类处理各类废弃物，有专门收集箱并标识，回收处理率100%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相关方施加影响率100%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火灾事故发生率为0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重大安全事故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为0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环境因素、危险源辨识与评价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EO6.1.2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组织根据手册第6.1.2条款、《环境因素识别与评价管理程序》要求，由管理科负责指导各部门环境因素的调查、评价、汇总、登记、审定及更新，各部门负责组织实施，综合部负责汇总整理。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查看组织《环境因素识别评价表》，组织在办公区等场所，按照活动过程调查、识别和确定了环境因素及其环境影响，对环境因素的状态进行评价，对应责任部门明确，有相应的保存期限、责任人和制定日期，基本满足环境因素识别、确定和保持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组织按照《环境因素识别与评价程序》准则确定了重要环境因素，抽查组织《重要环境因素清单》内容如下：</w:t>
            </w:r>
          </w:p>
          <w:tbl>
            <w:tblPr>
              <w:tblStyle w:val="9"/>
              <w:tblW w:w="9300" w:type="dxa"/>
              <w:tblInd w:w="2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0"/>
              <w:gridCol w:w="3157"/>
              <w:gridCol w:w="1843"/>
              <w:gridCol w:w="1230"/>
              <w:gridCol w:w="17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环境因素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活动点/工序或部位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环境影响</w:t>
                  </w:r>
                </w:p>
              </w:tc>
              <w:tc>
                <w:tcPr>
                  <w:tcW w:w="12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时态/状态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管理控制方式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96" w:hRule="atLeast"/>
              </w:trPr>
              <w:tc>
                <w:tcPr>
                  <w:tcW w:w="13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固废的排放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办公废旧灯管、电池、磁盘、生活垃圾等废弃</w:t>
                  </w:r>
                </w:p>
              </w:tc>
              <w:tc>
                <w:tcPr>
                  <w:tcW w:w="184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固废处理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污染土壤</w:t>
                  </w:r>
                </w:p>
              </w:tc>
              <w:tc>
                <w:tcPr>
                  <w:tcW w:w="123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现在/正常</w:t>
                  </w:r>
                </w:p>
              </w:tc>
              <w:tc>
                <w:tcPr>
                  <w:tcW w:w="171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①目标、指标及环境管理方案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②运行控制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0" w:hRule="atLeast"/>
              </w:trPr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办公、后勤生活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大气、土壤等综合性污染</w:t>
                  </w:r>
                </w:p>
              </w:tc>
              <w:tc>
                <w:tcPr>
                  <w:tcW w:w="123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现在/正常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①应急方案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重要环境因素识别、评价与实际吻合，管理方案明确控制措施基本能够满足控制要求。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组织根据手册6.1.2条款、《危险源辨识与风险评价控制措施管理程序》要求，由管理科负责编制《危险源风险辨识和评价表》，指导各职能部门（基层单位）开展危险、有害因素风险识别、评价，负责各职能部门（基层单位）风险评价记录的审查与控制效果有效性验证。组织有建立、更新《不可接受风险清单》。抽查组织不可接受风险内容如下：</w:t>
            </w:r>
          </w:p>
          <w:tbl>
            <w:tblPr>
              <w:tblStyle w:val="9"/>
              <w:tblW w:w="9509" w:type="dxa"/>
              <w:jc w:val="center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0"/>
              <w:gridCol w:w="2490"/>
              <w:gridCol w:w="1380"/>
              <w:gridCol w:w="3269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  <w:jc w:val="center"/>
              </w:trPr>
              <w:tc>
                <w:tcPr>
                  <w:tcW w:w="237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活动点/工序/部位</w:t>
                  </w:r>
                </w:p>
              </w:tc>
              <w:tc>
                <w:tcPr>
                  <w:tcW w:w="249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潜在的危险因素</w:t>
                  </w:r>
                </w:p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可能导致的结果</w:t>
                  </w:r>
                </w:p>
              </w:tc>
              <w:tc>
                <w:tcPr>
                  <w:tcW w:w="32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  <w:jc w:val="center"/>
              </w:trPr>
              <w:tc>
                <w:tcPr>
                  <w:tcW w:w="237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触电（私拉电线、设备漏电、违章作业等）</w:t>
                  </w:r>
                </w:p>
              </w:tc>
              <w:tc>
                <w:tcPr>
                  <w:tcW w:w="249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触电伤亡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人员伤亡</w:t>
                  </w:r>
                </w:p>
              </w:tc>
              <w:tc>
                <w:tcPr>
                  <w:tcW w:w="3269" w:type="dxa"/>
                  <w:noWrap w:val="0"/>
                  <w:vAlign w:val="top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①建立目标和管理方案   ②制订应急预案   ③常规运行控制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  <w:jc w:val="center"/>
              </w:trPr>
              <w:tc>
                <w:tcPr>
                  <w:tcW w:w="237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潜在火灾事故（电线老化；易燃处吸烟、动火等）</w:t>
                  </w:r>
                </w:p>
              </w:tc>
              <w:tc>
                <w:tcPr>
                  <w:tcW w:w="249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火灾伤亡</w:t>
                  </w:r>
                </w:p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人员的人身伤害</w:t>
                  </w:r>
                </w:p>
              </w:tc>
              <w:tc>
                <w:tcPr>
                  <w:tcW w:w="32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①建立目标和管理方案   ②制订应急预案   ③常规运行控制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37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交通事故</w:t>
                  </w:r>
                </w:p>
              </w:tc>
              <w:tc>
                <w:tcPr>
                  <w:tcW w:w="249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意外伤亡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  <w:t>人员伤亡</w:t>
                  </w:r>
                </w:p>
              </w:tc>
              <w:tc>
                <w:tcPr>
                  <w:tcW w:w="3269" w:type="dxa"/>
                  <w:noWrap w:val="0"/>
                  <w:vAlign w:val="top"/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ascii="楷体" w:hAnsi="楷体" w:eastAsia="楷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sz w:val="24"/>
                      <w:szCs w:val="24"/>
                    </w:rPr>
                    <w:t>①建立目标和管理方案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组织的职业健康安全风险与危险源辨识清单判定的内容一致，组织会在危险源和风险识别、确定和应对的过程中寻找机遇，包括：1）使工作、工作组织和工作环境适合于工作人员；2）消除危险源和降低职业健康安全风险等，基本与GB/T 45001-2020和企业手册以及程序文件要求识别的机遇一致，符合要求。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1.编制并实施《危险源辨识和风险控制策划程序》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、《环境因素识别与评价控制程序》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、《应急准备和响应控制程序》、《纠正措施和预防措施控制程序》、等环境、职业健康安全控制程序和管理制度。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.本部门办公中所产生的废弃物，由办公室统一处理。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.办公及生活污水排放至市政管道；办公活动无噪声、无废气产生。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.办公室内主要是电的使用，电器有漏电保护器，经常对电路、电源进行检查，没有露电现象发生。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.建立并实施了《信息交流沟通控制程序》提供《对相关方施加影响记录表》，对所有相关方施加影响，内容:将公司的环境/职业健康安全方针、重要环境因素/危险源等，通过传真发函的方式通知对方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对供应商施加影响还包括在评定供应商时，获取质量、环境、职业健康安全管理体系证书则优先，产品必须用环保无毒无害材料、无尖角毛刺等措施。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 现场查看仓库：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仓库的环境因素主要是废包装物排放、火灾等，危险源主要是产品堆放太高不整齐没捆绑、违规操作不按照安全操作规程造成的砸伤等。现场查看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仓库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有标识，消防通道保持畅通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有分类垃圾箱，配备了手提式干粉灭火器，经现场查看均在有效期内。仓库用电线路规范无临时用电，无私拉乱扯，无使用大功率电器等异常现象。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.为主要长期员工上社保，</w:t>
            </w:r>
            <w:bookmarkStart w:id="0" w:name="_GoBack"/>
            <w:r>
              <w:rPr>
                <w:rFonts w:hint="eastAsia" w:ascii="楷体" w:hAnsi="楷体" w:eastAsia="楷体" w:cs="Times New Roman"/>
                <w:color w:val="FF0000"/>
                <w:sz w:val="24"/>
                <w:szCs w:val="24"/>
              </w:rPr>
              <w:t>查到了202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  <w:szCs w:val="24"/>
              </w:rPr>
              <w:t>月份缴费证明</w:t>
            </w:r>
            <w:bookmarkEnd w:id="0"/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.外出业务洽谈时避免酗酒和吃生冷食物，一般选择火车、飞机。避免长途驾驶和疲劳驾驶操作不当造成人身伤害，注意做好疫情防护。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部门运行控制基本能符合标准规定的要求。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eastAsiaTheme="minor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管理科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组织的消防演练。</w:t>
            </w:r>
          </w:p>
          <w:p>
            <w:pPr>
              <w:pStyle w:val="3"/>
              <w:ind w:firstLine="480" w:firstLineChars="200"/>
              <w:jc w:val="left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7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7EEAB"/>
    <w:multiLevelType w:val="singleLevel"/>
    <w:tmpl w:val="3F97EE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A0D74"/>
    <w:rsid w:val="001A2D7F"/>
    <w:rsid w:val="00211C9A"/>
    <w:rsid w:val="002939AD"/>
    <w:rsid w:val="002C7BA6"/>
    <w:rsid w:val="002D16D1"/>
    <w:rsid w:val="00337922"/>
    <w:rsid w:val="00340867"/>
    <w:rsid w:val="00380837"/>
    <w:rsid w:val="003A198A"/>
    <w:rsid w:val="00410914"/>
    <w:rsid w:val="004D7B71"/>
    <w:rsid w:val="00536930"/>
    <w:rsid w:val="00564E53"/>
    <w:rsid w:val="005D100A"/>
    <w:rsid w:val="005D5659"/>
    <w:rsid w:val="00600C20"/>
    <w:rsid w:val="006264A5"/>
    <w:rsid w:val="00644FE2"/>
    <w:rsid w:val="0067640C"/>
    <w:rsid w:val="006E678B"/>
    <w:rsid w:val="007436CD"/>
    <w:rsid w:val="007757F3"/>
    <w:rsid w:val="007E6AEB"/>
    <w:rsid w:val="0082494A"/>
    <w:rsid w:val="008973EE"/>
    <w:rsid w:val="008F1CC9"/>
    <w:rsid w:val="00971600"/>
    <w:rsid w:val="009973B4"/>
    <w:rsid w:val="009C28C1"/>
    <w:rsid w:val="009F7EED"/>
    <w:rsid w:val="00A3306B"/>
    <w:rsid w:val="00A80636"/>
    <w:rsid w:val="00AF0AAB"/>
    <w:rsid w:val="00BF597E"/>
    <w:rsid w:val="00C31071"/>
    <w:rsid w:val="00C45F07"/>
    <w:rsid w:val="00C51A36"/>
    <w:rsid w:val="00C55228"/>
    <w:rsid w:val="00CE315A"/>
    <w:rsid w:val="00CF5C50"/>
    <w:rsid w:val="00D06F59"/>
    <w:rsid w:val="00D8388C"/>
    <w:rsid w:val="00E6224C"/>
    <w:rsid w:val="00EB0164"/>
    <w:rsid w:val="00ED0F62"/>
    <w:rsid w:val="00F5790C"/>
    <w:rsid w:val="00F85976"/>
    <w:rsid w:val="0A0F1269"/>
    <w:rsid w:val="108219C2"/>
    <w:rsid w:val="1FCD0363"/>
    <w:rsid w:val="22AA6901"/>
    <w:rsid w:val="2E43014D"/>
    <w:rsid w:val="30AD469C"/>
    <w:rsid w:val="33085A02"/>
    <w:rsid w:val="3B990449"/>
    <w:rsid w:val="42D072E0"/>
    <w:rsid w:val="57EF6FA1"/>
    <w:rsid w:val="584444AF"/>
    <w:rsid w:val="596A0A32"/>
    <w:rsid w:val="5B1057C6"/>
    <w:rsid w:val="5CA70AAC"/>
    <w:rsid w:val="5EA12B9A"/>
    <w:rsid w:val="61D707AE"/>
    <w:rsid w:val="66BA33E3"/>
    <w:rsid w:val="6D0642DC"/>
    <w:rsid w:val="71331972"/>
    <w:rsid w:val="719F359D"/>
    <w:rsid w:val="7804716B"/>
    <w:rsid w:val="78B91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1088</Characters>
  <Lines>9</Lines>
  <Paragraphs>2</Paragraphs>
  <TotalTime>2</TotalTime>
  <ScaleCrop>false</ScaleCrop>
  <LinksUpToDate>false</LinksUpToDate>
  <CharactersWithSpaces>1148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2022-08-13T06:45:46Z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C81EA1174DEE4917B62BD3C29FD26F8B</vt:lpwstr>
  </property>
</Properties>
</file>