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rPr>
            </w:pPr>
            <w:r>
              <w:rPr>
                <w:rFonts w:hint="eastAsia" w:ascii="楷体" w:hAnsi="楷体" w:eastAsia="楷体"/>
                <w:sz w:val="24"/>
                <w:szCs w:val="24"/>
              </w:rPr>
              <w:t>抽样计划</w:t>
            </w:r>
          </w:p>
        </w:tc>
        <w:tc>
          <w:tcPr>
            <w:tcW w:w="960"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rPr>
            </w:pPr>
            <w:r>
              <w:rPr>
                <w:rFonts w:hint="eastAsia" w:ascii="楷体" w:hAnsi="楷体" w:eastAsia="楷体"/>
                <w:sz w:val="24"/>
                <w:szCs w:val="24"/>
              </w:rPr>
              <w:t>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 xml:space="preserve">受审核部门： </w:t>
            </w:r>
            <w:r>
              <w:rPr>
                <w:rFonts w:hint="eastAsia" w:ascii="楷体" w:hAnsi="楷体" w:eastAsia="楷体"/>
                <w:sz w:val="24"/>
                <w:szCs w:val="24"/>
                <w:lang w:val="en-US" w:eastAsia="zh-CN"/>
              </w:rPr>
              <w:t>业务科</w:t>
            </w:r>
            <w:r>
              <w:rPr>
                <w:rFonts w:hint="eastAsia" w:ascii="楷体" w:hAnsi="楷体" w:eastAsia="楷体"/>
                <w:sz w:val="24"/>
                <w:szCs w:val="24"/>
              </w:rPr>
              <w:t xml:space="preserve">   </w:t>
            </w:r>
            <w:r>
              <w:rPr>
                <w:rFonts w:hint="eastAsia" w:ascii="楷体" w:hAnsi="楷体" w:eastAsia="楷体"/>
                <w:kern w:val="0"/>
                <w:sz w:val="18"/>
                <w:szCs w:val="18"/>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俞旭光</w:t>
            </w:r>
            <w:r>
              <w:rPr>
                <w:rFonts w:hint="eastAsia" w:ascii="楷体" w:hAnsi="楷体" w:eastAsia="楷体"/>
                <w:sz w:val="24"/>
                <w:szCs w:val="24"/>
              </w:rPr>
              <w:t xml:space="preserve">         陪同人员：</w:t>
            </w:r>
            <w:r>
              <w:rPr>
                <w:rFonts w:hint="eastAsia" w:ascii="楷体" w:hAnsi="楷体" w:eastAsia="楷体"/>
                <w:sz w:val="24"/>
                <w:szCs w:val="24"/>
                <w:lang w:val="en-US" w:eastAsia="zh-CN"/>
              </w:rPr>
              <w:t>蒋世鳌</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spacing w:before="120"/>
              <w:rPr>
                <w:rFonts w:hint="eastAsia" w:ascii="楷体" w:hAnsi="楷体" w:eastAsia="楷体"/>
                <w:lang w:val="en-US" w:eastAsia="zh-CN"/>
              </w:rPr>
            </w:pPr>
            <w:r>
              <w:rPr>
                <w:rFonts w:hint="eastAsia" w:ascii="楷体" w:hAnsi="楷体" w:eastAsia="楷体"/>
                <w:sz w:val="24"/>
                <w:szCs w:val="24"/>
              </w:rPr>
              <w:t xml:space="preserve">审核员：  </w:t>
            </w:r>
            <w:r>
              <w:rPr>
                <w:rFonts w:hint="eastAsia" w:ascii="楷体" w:hAnsi="楷体" w:eastAsia="楷体"/>
                <w:sz w:val="24"/>
                <w:szCs w:val="24"/>
                <w:lang w:val="en-US" w:eastAsia="zh-CN"/>
              </w:rPr>
              <w:t xml:space="preserve">张磊 </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22</w:t>
            </w:r>
            <w:r>
              <w:rPr>
                <w:rFonts w:hint="eastAsia" w:ascii="楷体" w:hAnsi="楷体" w:eastAsia="楷体"/>
                <w:sz w:val="24"/>
                <w:szCs w:val="24"/>
              </w:rPr>
              <w:t>.</w:t>
            </w:r>
            <w:r>
              <w:rPr>
                <w:rFonts w:hint="eastAsia" w:ascii="楷体" w:hAnsi="楷体" w:eastAsia="楷体"/>
                <w:sz w:val="24"/>
                <w:szCs w:val="24"/>
                <w:lang w:val="en-US" w:eastAsia="zh-CN"/>
              </w:rPr>
              <w:t>8</w:t>
            </w:r>
            <w:r>
              <w:rPr>
                <w:rFonts w:hint="eastAsia" w:ascii="楷体" w:hAnsi="楷体" w:eastAsia="楷体"/>
                <w:sz w:val="24"/>
                <w:szCs w:val="24"/>
              </w:rPr>
              <w:t>.1</w:t>
            </w:r>
            <w:r>
              <w:rPr>
                <w:rFonts w:hint="eastAsia" w:ascii="楷体" w:hAnsi="楷体" w:eastAsia="楷体"/>
                <w:sz w:val="24"/>
                <w:szCs w:val="24"/>
                <w:lang w:val="en-US" w:eastAsia="zh-CN"/>
              </w:rPr>
              <w:t>3</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spacing w:line="360" w:lineRule="auto"/>
              <w:rPr>
                <w:rFonts w:ascii="楷体" w:hAnsi="楷体" w:eastAsia="楷体"/>
                <w:szCs w:val="22"/>
              </w:rPr>
            </w:pPr>
            <w:r>
              <w:rPr>
                <w:rFonts w:hint="eastAsia" w:ascii="楷体" w:hAnsi="楷体" w:eastAsia="楷体"/>
                <w:szCs w:val="22"/>
              </w:rPr>
              <w:t>审核条款：</w:t>
            </w:r>
          </w:p>
          <w:p>
            <w:pPr>
              <w:spacing w:line="360" w:lineRule="auto"/>
              <w:rPr>
                <w:rFonts w:hint="eastAsia" w:ascii="楷体" w:hAnsi="楷体" w:eastAsia="楷体" w:cs="Times New Roman"/>
                <w:sz w:val="24"/>
                <w:szCs w:val="24"/>
                <w:lang w:val="de-DE"/>
              </w:rPr>
            </w:pPr>
            <w:r>
              <w:rPr>
                <w:rFonts w:hint="eastAsia" w:ascii="楷体" w:hAnsi="楷体" w:eastAsia="楷体" w:cs="Times New Roman"/>
                <w:sz w:val="24"/>
                <w:szCs w:val="24"/>
                <w:lang w:val="de-DE"/>
              </w:rPr>
              <w:t xml:space="preserve">EMS-2015 </w:t>
            </w:r>
          </w:p>
          <w:p>
            <w:pPr>
              <w:spacing w:line="360" w:lineRule="auto"/>
              <w:rPr>
                <w:rFonts w:hint="eastAsia" w:ascii="楷体" w:hAnsi="楷体" w:eastAsia="楷体" w:cs="Times New Roman"/>
                <w:sz w:val="24"/>
                <w:szCs w:val="24"/>
              </w:rPr>
            </w:pPr>
            <w:r>
              <w:rPr>
                <w:rFonts w:hint="eastAsia" w:ascii="楷体" w:hAnsi="楷体" w:eastAsia="楷体" w:cs="Times New Roman"/>
                <w:sz w:val="24"/>
                <w:szCs w:val="24"/>
              </w:rPr>
              <w:t>5.3组织的角色、职责和权限、6.1.2环境因素；6.2目标及其达成的策划；8.1运行策划和控制；8.2应急准备和响应</w:t>
            </w:r>
          </w:p>
          <w:p>
            <w:pPr>
              <w:spacing w:line="360" w:lineRule="auto"/>
              <w:rPr>
                <w:rFonts w:hint="eastAsia" w:ascii="楷体" w:hAnsi="楷体" w:eastAsia="楷体" w:cs="Times New Roman"/>
                <w:sz w:val="24"/>
                <w:szCs w:val="24"/>
              </w:rPr>
            </w:pPr>
            <w:r>
              <w:rPr>
                <w:rFonts w:hint="eastAsia" w:ascii="楷体" w:hAnsi="楷体" w:eastAsia="楷体" w:cs="Times New Roman"/>
                <w:sz w:val="24"/>
                <w:szCs w:val="24"/>
                <w:lang w:val="de-DE"/>
              </w:rPr>
              <w:t>ISO 45001：2018</w:t>
            </w:r>
          </w:p>
          <w:p>
            <w:pPr>
              <w:spacing w:line="360" w:lineRule="auto"/>
              <w:rPr>
                <w:rFonts w:ascii="楷体" w:hAnsi="楷体" w:eastAsia="楷体"/>
                <w:kern w:val="0"/>
                <w:sz w:val="18"/>
                <w:szCs w:val="18"/>
              </w:rPr>
            </w:pPr>
            <w:r>
              <w:rPr>
                <w:rFonts w:hint="eastAsia" w:ascii="楷体" w:hAnsi="楷体" w:eastAsia="楷体" w:cs="Times New Roman"/>
                <w:sz w:val="24"/>
                <w:szCs w:val="24"/>
              </w:rPr>
              <w:t>5.3组织的角色、职责和权限；6.1.2危险源辨识和职业安全风险评价；6.2目标及其实现的策划；8.1运行策划和控制；8.2应急准备和响应；</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tcPr>
          <w:p>
            <w:pPr>
              <w:spacing w:line="360" w:lineRule="auto"/>
              <w:rPr>
                <w:rFonts w:ascii="楷体" w:hAnsi="楷体" w:eastAsia="楷体"/>
                <w:sz w:val="24"/>
                <w:szCs w:val="24"/>
              </w:rPr>
            </w:pPr>
            <w:r>
              <w:rPr>
                <w:rFonts w:hint="eastAsia" w:ascii="楷体" w:hAnsi="楷体" w:eastAsia="楷体"/>
                <w:sz w:val="24"/>
                <w:szCs w:val="24"/>
              </w:rPr>
              <w:t>组织的岗位职责和权限</w:t>
            </w:r>
          </w:p>
          <w:p>
            <w:pPr>
              <w:rPr>
                <w:rFonts w:ascii="楷体" w:hAnsi="楷体" w:eastAsia="楷体"/>
                <w:sz w:val="24"/>
                <w:szCs w:val="24"/>
              </w:rPr>
            </w:pPr>
          </w:p>
        </w:tc>
        <w:tc>
          <w:tcPr>
            <w:tcW w:w="960" w:type="dxa"/>
          </w:tcPr>
          <w:p>
            <w:pPr>
              <w:rPr>
                <w:rFonts w:ascii="楷体" w:hAnsi="楷体" w:eastAsia="楷体"/>
                <w:sz w:val="24"/>
                <w:szCs w:val="24"/>
              </w:rPr>
            </w:pPr>
            <w:r>
              <w:rPr>
                <w:rFonts w:hint="eastAsia" w:ascii="楷体" w:hAnsi="楷体" w:eastAsia="楷体"/>
                <w:sz w:val="24"/>
                <w:szCs w:val="24"/>
                <w:lang w:val="en-US" w:eastAsia="zh-CN"/>
              </w:rPr>
              <w:t>EO</w:t>
            </w:r>
            <w:r>
              <w:rPr>
                <w:rFonts w:hint="eastAsia" w:ascii="楷体" w:hAnsi="楷体" w:eastAsia="楷体"/>
                <w:sz w:val="24"/>
                <w:szCs w:val="24"/>
              </w:rPr>
              <w:t>5.3</w:t>
            </w:r>
          </w:p>
        </w:tc>
        <w:tc>
          <w:tcPr>
            <w:tcW w:w="10004" w:type="dxa"/>
          </w:tcPr>
          <w:p>
            <w:pPr>
              <w:spacing w:line="360" w:lineRule="auto"/>
              <w:rPr>
                <w:rFonts w:ascii="楷体" w:hAnsi="楷体" w:eastAsia="楷体"/>
                <w:sz w:val="24"/>
                <w:szCs w:val="24"/>
              </w:rPr>
            </w:pPr>
            <w:r>
              <w:rPr>
                <w:rFonts w:hint="eastAsia" w:ascii="楷体" w:hAnsi="楷体" w:eastAsia="楷体"/>
                <w:sz w:val="24"/>
                <w:szCs w:val="24"/>
                <w:lang w:eastAsia="zh-CN"/>
              </w:rPr>
              <w:t>业务部</w:t>
            </w:r>
            <w:r>
              <w:rPr>
                <w:rFonts w:hint="eastAsia" w:ascii="楷体" w:hAnsi="楷体" w:eastAsia="楷体"/>
                <w:sz w:val="24"/>
                <w:szCs w:val="24"/>
              </w:rPr>
              <w:t>主要负责：业务洽谈与合同评审和客户关系维护，负责收集顾客有关的环境的信息，并及时反馈到相关部门予以处置；负责对销售合同中环境条款审核、确认和落实；负责产品交付与发运过程的环境管理工作。</w:t>
            </w:r>
          </w:p>
        </w:tc>
        <w:tc>
          <w:tcPr>
            <w:tcW w:w="1585" w:type="dxa"/>
          </w:tcPr>
          <w:p>
            <w:pPr>
              <w:rPr>
                <w:rFonts w:hint="eastAsia" w:ascii="楷体" w:hAnsi="楷体" w:eastAsia="楷体"/>
                <w:lang w:val="en-US" w:eastAsia="zh-CN"/>
              </w:rPr>
            </w:pPr>
            <w:r>
              <w:rPr>
                <w:rFonts w:hint="eastAsia" w:ascii="楷体" w:hAnsi="楷体" w:eastAsia="楷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trPr>
        <w:tc>
          <w:tcPr>
            <w:tcW w:w="2160" w:type="dxa"/>
          </w:tcPr>
          <w:p>
            <w:pPr>
              <w:rPr>
                <w:rFonts w:ascii="楷体" w:hAnsi="楷体" w:eastAsia="楷体"/>
                <w:sz w:val="24"/>
                <w:szCs w:val="24"/>
              </w:rPr>
            </w:pPr>
            <w:r>
              <w:rPr>
                <w:rFonts w:hint="eastAsia" w:ascii="楷体" w:hAnsi="楷体" w:eastAsia="楷体"/>
                <w:sz w:val="24"/>
                <w:szCs w:val="24"/>
              </w:rPr>
              <w:t>目标及其实现的策划总要求、</w:t>
            </w:r>
          </w:p>
        </w:tc>
        <w:tc>
          <w:tcPr>
            <w:tcW w:w="960" w:type="dxa"/>
          </w:tcPr>
          <w:p>
            <w:pPr>
              <w:rPr>
                <w:rFonts w:ascii="楷体" w:hAnsi="楷体" w:eastAsia="楷体"/>
                <w:sz w:val="24"/>
                <w:szCs w:val="24"/>
              </w:rPr>
            </w:pPr>
            <w:r>
              <w:rPr>
                <w:rFonts w:hint="eastAsia" w:ascii="楷体" w:hAnsi="楷体" w:eastAsia="楷体"/>
                <w:sz w:val="24"/>
                <w:szCs w:val="24"/>
                <w:lang w:val="en-US" w:eastAsia="zh-CN"/>
              </w:rPr>
              <w:t>EO</w:t>
            </w:r>
            <w:r>
              <w:rPr>
                <w:rFonts w:hint="eastAsia" w:ascii="楷体" w:hAnsi="楷体" w:eastAsia="楷体"/>
                <w:sz w:val="24"/>
                <w:szCs w:val="24"/>
              </w:rPr>
              <w:t>6.2</w:t>
            </w:r>
          </w:p>
        </w:tc>
        <w:tc>
          <w:tcPr>
            <w:tcW w:w="10004" w:type="dxa"/>
          </w:tcPr>
          <w:p>
            <w:pPr>
              <w:spacing w:line="360" w:lineRule="auto"/>
              <w:rPr>
                <w:rFonts w:hint="eastAsia" w:ascii="楷体" w:hAnsi="楷体" w:eastAsia="楷体"/>
                <w:sz w:val="24"/>
                <w:szCs w:val="24"/>
              </w:rPr>
            </w:pPr>
            <w:r>
              <w:rPr>
                <w:rFonts w:hint="eastAsia" w:ascii="楷体" w:hAnsi="楷体" w:eastAsia="楷体"/>
                <w:sz w:val="24"/>
                <w:szCs w:val="24"/>
              </w:rPr>
              <w:t>本部门的目标有: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ascii="宋体" w:hAnsi="宋体"/>
                      <w:color w:val="auto"/>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重大安全事故</w:t>
                  </w:r>
                </w:p>
                <w:p>
                  <w:pPr>
                    <w:keepNext w:val="0"/>
                    <w:keepLines w:val="0"/>
                    <w:suppressLineNumbers w:val="0"/>
                    <w:spacing w:before="0" w:beforeAutospacing="0" w:after="0" w:afterAutospacing="0"/>
                    <w:ind w:left="0" w:leftChars="0" w:right="0" w:rightChars="0"/>
                    <w:rPr>
                      <w:rFonts w:hint="eastAsia"/>
                      <w:color w:val="auto"/>
                      <w:lang w:eastAsia="zh-CN"/>
                    </w:rPr>
                  </w:pP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GB"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GB" w:eastAsia="zh-CN" w:bidi="ar-SA"/>
                    </w:rPr>
                  </w:pPr>
                  <w:r>
                    <w:rPr>
                      <w:rFonts w:hint="eastAsia" w:cs="Times New Roman"/>
                      <w:color w:val="auto"/>
                      <w:kern w:val="2"/>
                      <w:sz w:val="21"/>
                      <w:szCs w:val="24"/>
                      <w:lang w:val="en-US" w:eastAsia="zh-CN" w:bidi="ar-SA"/>
                    </w:rPr>
                    <w:t>业务科</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Times New Roman"/>
                      <w:color w:val="auto"/>
                      <w:lang w:val="en-GB"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火灾事故</w:t>
                  </w:r>
                </w:p>
                <w:p>
                  <w:pPr>
                    <w:keepNext w:val="0"/>
                    <w:keepLines w:val="0"/>
                    <w:suppressLineNumbers w:val="0"/>
                    <w:spacing w:before="0" w:beforeAutospacing="0" w:after="0" w:afterAutospacing="0"/>
                    <w:ind w:left="0" w:leftChars="0" w:right="0" w:rightChars="0"/>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业务科</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spacing w:before="0" w:beforeAutospacing="0" w:after="0" w:afterAutospacing="0"/>
                    <w:ind w:left="0" w:leftChars="0" w:right="0" w:rightChars="0"/>
                    <w:rPr>
                      <w:rFonts w:hint="eastAsia"/>
                      <w:color w:val="auto"/>
                    </w:rPr>
                  </w:pPr>
                  <w:r>
                    <w:rPr>
                      <w:rFonts w:hint="eastAsia"/>
                      <w:color w:val="auto"/>
                    </w:rPr>
                    <w:t>办公场所分类处理各类废弃物，有专门收集箱并标识，回收处理率</w:t>
                  </w:r>
                </w:p>
              </w:tc>
              <w:tc>
                <w:tcPr>
                  <w:tcW w:w="313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cs="Times New Roman"/>
                      <w:color w:val="auto"/>
                      <w:kern w:val="2"/>
                      <w:sz w:val="21"/>
                      <w:szCs w:val="24"/>
                      <w:lang w:val="en-US" w:eastAsia="zh-CN" w:bidi="ar-SA"/>
                    </w:rPr>
                  </w:pPr>
                  <w:r>
                    <w:rPr>
                      <w:rFonts w:hint="eastAsia"/>
                      <w:color w:val="auto"/>
                    </w:rPr>
                    <w:t>100%.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业务科</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lang w:val="en-US" w:eastAsia="zh-CN"/>
                    </w:rPr>
                  </w:pPr>
                  <w:r>
                    <w:rPr>
                      <w:rFonts w:hint="eastAsia"/>
                      <w:color w:val="auto"/>
                    </w:rPr>
                    <w:t>100%.</w:t>
                  </w:r>
                </w:p>
              </w:tc>
            </w:tr>
          </w:tbl>
          <w:p>
            <w:pPr>
              <w:spacing w:line="360" w:lineRule="auto"/>
              <w:rPr>
                <w:rFonts w:ascii="楷体" w:hAnsi="楷体" w:eastAsia="楷体"/>
                <w:sz w:val="24"/>
                <w:szCs w:val="24"/>
              </w:rPr>
            </w:pPr>
            <w:r>
              <w:rPr>
                <w:rFonts w:hint="eastAsia" w:ascii="楷体" w:hAnsi="楷体" w:eastAsia="楷体"/>
                <w:sz w:val="24"/>
                <w:szCs w:val="24"/>
              </w:rPr>
              <w:t>提供20</w:t>
            </w:r>
            <w:r>
              <w:rPr>
                <w:rFonts w:hint="eastAsia" w:ascii="楷体" w:hAnsi="楷体" w:eastAsia="楷体"/>
                <w:sz w:val="24"/>
                <w:szCs w:val="24"/>
                <w:lang w:val="en-US" w:eastAsia="zh-CN"/>
              </w:rPr>
              <w:t>22</w:t>
            </w:r>
            <w:r>
              <w:rPr>
                <w:rFonts w:hint="eastAsia" w:ascii="楷体" w:hAnsi="楷体" w:eastAsia="楷体"/>
                <w:sz w:val="24"/>
                <w:szCs w:val="24"/>
              </w:rPr>
              <w:t>.</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日的《EO指标分解及考核结果》，</w:t>
            </w:r>
          </w:p>
          <w:p>
            <w:pPr>
              <w:rPr>
                <w:rFonts w:hint="eastAsia" w:ascii="楷体" w:hAnsi="楷体" w:eastAsia="楷体"/>
                <w:sz w:val="24"/>
                <w:szCs w:val="24"/>
                <w:lang w:eastAsia="zh-CN"/>
              </w:rPr>
            </w:pPr>
            <w:r>
              <w:rPr>
                <w:rFonts w:hint="eastAsia" w:ascii="楷体" w:hAnsi="楷体" w:eastAsia="楷体"/>
                <w:sz w:val="24"/>
                <w:szCs w:val="24"/>
              </w:rPr>
              <w:t>经考核以上各目标均已达成。</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w:t>
            </w:r>
          </w:p>
        </w:tc>
        <w:tc>
          <w:tcPr>
            <w:tcW w:w="1585" w:type="dxa"/>
          </w:tcPr>
          <w:p>
            <w:pPr>
              <w:rPr>
                <w:rFonts w:ascii="楷体" w:hAnsi="楷体" w:eastAsia="楷体"/>
              </w:rPr>
            </w:pPr>
            <w:r>
              <w:rPr>
                <w:rFonts w:hint="eastAsia" w:ascii="楷体" w:hAnsi="楷体" w:eastAsia="楷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vAlign w:val="top"/>
          </w:tcPr>
          <w:p>
            <w:pPr>
              <w:pStyle w:val="14"/>
              <w:rPr>
                <w:rFonts w:hint="eastAsia" w:ascii="楷体" w:hAnsi="楷体" w:eastAsia="楷体" w:cs="Times New Roman"/>
                <w:bCs w:val="0"/>
                <w:spacing w:val="0"/>
                <w:kern w:val="2"/>
                <w:sz w:val="24"/>
                <w:szCs w:val="24"/>
                <w:lang w:val="en-US" w:eastAsia="zh-CN" w:bidi="ar-SA"/>
              </w:rPr>
            </w:pPr>
            <w:bookmarkStart w:id="0" w:name="_GoBack" w:colFirst="2" w:colLast="2"/>
            <w:r>
              <w:rPr>
                <w:rFonts w:hint="eastAsia" w:ascii="楷体" w:hAnsi="楷体" w:eastAsia="楷体" w:cs="Times New Roman"/>
                <w:bCs w:val="0"/>
                <w:spacing w:val="0"/>
                <w:kern w:val="2"/>
                <w:sz w:val="24"/>
                <w:szCs w:val="24"/>
                <w:lang w:val="en-US" w:eastAsia="zh-CN" w:bidi="ar-SA"/>
              </w:rPr>
              <w:t>组织的环境因素、危险源辨识和职业安全风险评价</w:t>
            </w:r>
          </w:p>
        </w:tc>
        <w:tc>
          <w:tcPr>
            <w:tcW w:w="960" w:type="dxa"/>
            <w:vAlign w:val="top"/>
          </w:tcPr>
          <w:p>
            <w:pPr>
              <w:pStyle w:val="14"/>
              <w:rPr>
                <w:rFonts w:hint="eastAsia" w:ascii="楷体" w:hAnsi="楷体" w:eastAsia="楷体" w:cs="Times New Roman"/>
                <w:bCs w:val="0"/>
                <w:spacing w:val="0"/>
                <w:kern w:val="2"/>
                <w:sz w:val="24"/>
                <w:szCs w:val="24"/>
                <w:lang w:val="en-US" w:eastAsia="zh-CN" w:bidi="ar-SA"/>
              </w:rPr>
            </w:pPr>
            <w:r>
              <w:rPr>
                <w:rFonts w:hint="eastAsia" w:ascii="楷体" w:hAnsi="楷体" w:eastAsia="楷体" w:cs="Times New Roman"/>
                <w:bCs w:val="0"/>
                <w:spacing w:val="0"/>
                <w:kern w:val="2"/>
                <w:sz w:val="24"/>
                <w:szCs w:val="24"/>
                <w:lang w:val="en-US" w:eastAsia="zh-CN" w:bidi="ar-SA"/>
              </w:rPr>
              <w:t>EO：6.1.2</w:t>
            </w:r>
          </w:p>
        </w:tc>
        <w:tc>
          <w:tcPr>
            <w:tcW w:w="10004" w:type="dxa"/>
          </w:tcPr>
          <w:p>
            <w:pPr>
              <w:spacing w:line="360" w:lineRule="auto"/>
            </w:pPr>
            <w:r>
              <w:rPr>
                <w:rFonts w:hint="eastAsia"/>
              </w:rPr>
              <w:t>查有：《环境因素的识别</w:t>
            </w:r>
            <w:r>
              <w:rPr>
                <w:rFonts w:hint="eastAsia"/>
                <w:lang w:val="en-US" w:eastAsia="zh-CN"/>
              </w:rPr>
              <w:t>与</w:t>
            </w:r>
            <w:r>
              <w:rPr>
                <w:rFonts w:hint="eastAsia"/>
              </w:rPr>
              <w:t>评价控制程序》。</w:t>
            </w:r>
          </w:p>
          <w:p>
            <w:pPr>
              <w:spacing w:line="360" w:lineRule="auto"/>
            </w:pPr>
            <w:r>
              <w:rPr>
                <w:rFonts w:hint="eastAsia"/>
              </w:rPr>
              <w:t>查</w:t>
            </w:r>
            <w:r>
              <w:rPr>
                <w:rFonts w:hint="eastAsia"/>
                <w:lang w:eastAsia="zh-CN"/>
              </w:rPr>
              <w:t>业务科</w:t>
            </w:r>
            <w:r>
              <w:rPr>
                <w:rFonts w:hint="eastAsia"/>
              </w:rPr>
              <w:t>的《环境因素识别评价汇总表》，识别了本部门在办公、销售、相关方等各有关过程的环境因素，包括日光灯更换、电脑使用用电消耗、办公纸张、销售产品、销售活动宣传材料的处置、车辆尾气排放、废包装物排放等环境因素，能考虑生命周期观点。</w:t>
            </w:r>
          </w:p>
          <w:p>
            <w:pPr>
              <w:spacing w:line="360" w:lineRule="auto"/>
            </w:pPr>
            <w:r>
              <w:rPr>
                <w:rFonts w:hint="eastAsia"/>
              </w:rPr>
              <w:t>查《重要环境因素清单》，涉及本部门有</w:t>
            </w:r>
            <w:r>
              <w:rPr>
                <w:rFonts w:hint="eastAsia"/>
                <w:lang w:val="en-US" w:eastAsia="zh-CN"/>
              </w:rPr>
              <w:t>2</w:t>
            </w:r>
            <w:r>
              <w:rPr>
                <w:rFonts w:hint="eastAsia"/>
              </w:rPr>
              <w:t>项重要环境因素，包括：火灾</w:t>
            </w:r>
            <w:r>
              <w:rPr>
                <w:rFonts w:hint="eastAsia"/>
                <w:lang w:eastAsia="zh-CN"/>
              </w:rPr>
              <w:t>、</w:t>
            </w:r>
            <w:r>
              <w:rPr>
                <w:rFonts w:hint="eastAsia"/>
                <w:lang w:val="en-US" w:eastAsia="zh-CN"/>
              </w:rPr>
              <w:t>资源的消耗</w:t>
            </w:r>
            <w:r>
              <w:rPr>
                <w:rFonts w:hint="eastAsia"/>
              </w:rPr>
              <w:t>。</w:t>
            </w:r>
          </w:p>
          <w:p>
            <w:pPr>
              <w:spacing w:line="360" w:lineRule="auto"/>
              <w:rPr>
                <w:rFonts w:hint="eastAsia"/>
                <w:lang w:eastAsia="zh-CN"/>
              </w:rPr>
            </w:pPr>
            <w:r>
              <w:rPr>
                <w:rFonts w:hint="eastAsia"/>
              </w:rPr>
              <w:t>控制措施：固废分类存放、垃圾等由</w:t>
            </w:r>
            <w:r>
              <w:rPr>
                <w:rFonts w:hint="eastAsia"/>
                <w:lang w:eastAsia="zh-CN"/>
              </w:rPr>
              <w:t>管理科</w:t>
            </w:r>
            <w:r>
              <w:rPr>
                <w:rFonts w:hint="eastAsia"/>
              </w:rPr>
              <w:t>负责按规定处置，包装物分类卖掉，培训教育，消防配备有消防器材、应急预案等措施。</w:t>
            </w:r>
            <w:r>
              <w:rPr>
                <w:rFonts w:hint="eastAsia"/>
                <w:lang w:eastAsia="zh-CN"/>
              </w:rPr>
              <w:drawing>
                <wp:inline distT="0" distB="0" distL="114300" distR="114300">
                  <wp:extent cx="6215380" cy="2641600"/>
                  <wp:effectExtent l="0" t="0" r="7620" b="0"/>
                  <wp:docPr id="5" name="图片 5" descr="微信图片_2021091610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916103714"/>
                          <pic:cNvPicPr>
                            <a:picLocks noChangeAspect="1"/>
                          </pic:cNvPicPr>
                        </pic:nvPicPr>
                        <pic:blipFill>
                          <a:blip r:embed="rId6"/>
                          <a:srcRect b="5304"/>
                          <a:stretch>
                            <a:fillRect/>
                          </a:stretch>
                        </pic:blipFill>
                        <pic:spPr>
                          <a:xfrm>
                            <a:off x="0" y="0"/>
                            <a:ext cx="6215380" cy="2641600"/>
                          </a:xfrm>
                          <a:prstGeom prst="rect">
                            <a:avLst/>
                          </a:prstGeom>
                        </pic:spPr>
                      </pic:pic>
                    </a:graphicData>
                  </a:graphic>
                </wp:inline>
              </w:drawing>
            </w:r>
          </w:p>
          <w:p>
            <w:pPr>
              <w:spacing w:line="360" w:lineRule="auto"/>
              <w:rPr>
                <w:rFonts w:hint="eastAsia"/>
              </w:rPr>
            </w:pPr>
            <w:r>
              <w:rPr>
                <w:rFonts w:hint="eastAsia"/>
              </w:rPr>
              <w:t xml:space="preserve"> 部门识别和评价基本充分，符合规定要求。</w:t>
            </w:r>
          </w:p>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根据手册6.1.2条款、《危险源辨识与风险评价控制措施管理程序》要求，由管理部负责编制《危险源风险辨识和评价表》，指导各职能部门（基层单位）开展危险、有害因素风险识别、评价，负责各职能部门（基层单位）风险评价记录的审查与控制效果有效性验证。组织有建立、更新《不可接受风险清单》。抽查组织不可接受风险内容如下：</w:t>
            </w:r>
          </w:p>
          <w:tbl>
            <w:tblPr>
              <w:tblStyle w:val="8"/>
              <w:tblW w:w="950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0"/>
              <w:gridCol w:w="2490"/>
              <w:gridCol w:w="1380"/>
              <w:gridCol w:w="32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2370"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活动点/工序/部位</w:t>
                  </w:r>
                </w:p>
              </w:tc>
              <w:tc>
                <w:tcPr>
                  <w:tcW w:w="2490"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潜在的危险因素</w:t>
                  </w:r>
                </w:p>
              </w:tc>
              <w:tc>
                <w:tcPr>
                  <w:tcW w:w="1380"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可能导致的结果</w:t>
                  </w:r>
                </w:p>
              </w:tc>
              <w:tc>
                <w:tcPr>
                  <w:tcW w:w="3269"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370"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触电（私拉电线、设备漏电、违章作业等）</w:t>
                  </w:r>
                </w:p>
              </w:tc>
              <w:tc>
                <w:tcPr>
                  <w:tcW w:w="2490"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触电伤亡</w:t>
                  </w:r>
                </w:p>
              </w:tc>
              <w:tc>
                <w:tcPr>
                  <w:tcW w:w="1380" w:type="dxa"/>
                  <w:noWrap w:val="0"/>
                  <w:vAlign w:val="top"/>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人员伤亡</w:t>
                  </w:r>
                </w:p>
              </w:tc>
              <w:tc>
                <w:tcPr>
                  <w:tcW w:w="3269" w:type="dxa"/>
                  <w:noWrap w:val="0"/>
                  <w:vAlign w:val="top"/>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655" w:hRule="atLeast"/>
                <w:jc w:val="center"/>
              </w:trPr>
              <w:tc>
                <w:tcPr>
                  <w:tcW w:w="2370"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潜在火灾事故（电线老化；易燃处吸烟、动火等）</w:t>
                  </w:r>
                </w:p>
              </w:tc>
              <w:tc>
                <w:tcPr>
                  <w:tcW w:w="2490"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火灾伤亡</w:t>
                  </w:r>
                </w:p>
              </w:tc>
              <w:tc>
                <w:tcPr>
                  <w:tcW w:w="1380"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人员的人身伤害</w:t>
                  </w:r>
                </w:p>
              </w:tc>
              <w:tc>
                <w:tcPr>
                  <w:tcW w:w="3269" w:type="dxa"/>
                  <w:noWrap w:val="0"/>
                  <w:vAlign w:val="center"/>
                </w:tcPr>
                <w:p>
                  <w:pPr>
                    <w:pStyle w:val="5"/>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①建立目标和管理方案   ②制订应急预案   ③常规运行控制</w:t>
                  </w:r>
                </w:p>
              </w:tc>
            </w:tr>
          </w:tbl>
          <w:p>
            <w:pPr>
              <w:pStyle w:val="5"/>
            </w:pPr>
            <w:r>
              <w:rPr>
                <w:rFonts w:hint="eastAsia" w:ascii="Times New Roman" w:hAnsi="Times New Roman" w:eastAsia="宋体" w:cs="Times New Roman"/>
                <w:kern w:val="2"/>
                <w:sz w:val="21"/>
                <w:lang w:val="en-US" w:eastAsia="zh-CN" w:bidi="ar-SA"/>
              </w:rPr>
              <w:t>组织的职业健康安全风险与危险源辨识清单判定的内容一致，组织会在危险源和风险识别、确定和应对的过程中寻找机遇，包括：1）使工作、工作组织和工作环境适合于工作人员；2）消除危险源和降低职业健康安全风险等，基本与GB/T 45001-2020和企业手册以及程序文件要求识别的机遇一致，符合要求。</w:t>
            </w:r>
          </w:p>
        </w:tc>
        <w:tc>
          <w:tcPr>
            <w:tcW w:w="1585" w:type="dxa"/>
          </w:tcPr>
          <w:p>
            <w:pPr>
              <w:rPr>
                <w:rFonts w:ascii="楷体" w:hAnsi="楷体" w:eastAsia="楷体"/>
              </w:rPr>
            </w:pPr>
            <w:r>
              <w:rPr>
                <w:rFonts w:hint="eastAsia" w:ascii="楷体" w:hAnsi="楷体" w:eastAsia="楷体"/>
                <w:lang w:val="en-US" w:eastAsia="zh-CN"/>
              </w:rPr>
              <w:t>合格</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trPr>
        <w:tc>
          <w:tcPr>
            <w:tcW w:w="2160"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运行策划和控制</w:t>
            </w:r>
          </w:p>
        </w:tc>
        <w:tc>
          <w:tcPr>
            <w:tcW w:w="960"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lang w:val="en-US" w:eastAsia="zh-CN"/>
              </w:rPr>
              <w:t>EO</w:t>
            </w:r>
            <w:r>
              <w:rPr>
                <w:rFonts w:hint="eastAsia" w:ascii="楷体" w:hAnsi="楷体" w:eastAsia="楷体"/>
                <w:sz w:val="24"/>
                <w:szCs w:val="24"/>
              </w:rPr>
              <w:t>8.1</w:t>
            </w:r>
          </w:p>
        </w:tc>
        <w:tc>
          <w:tcPr>
            <w:tcW w:w="10004" w:type="dxa"/>
          </w:tcPr>
          <w:p>
            <w:pPr>
              <w:tabs>
                <w:tab w:val="left" w:pos="6597"/>
              </w:tabs>
              <w:spacing w:line="360" w:lineRule="auto"/>
              <w:ind w:firstLine="420" w:firstLineChars="200"/>
              <w:rPr>
                <w:rFonts w:hint="eastAsia"/>
                <w:lang w:val="zh-CN"/>
              </w:rPr>
            </w:pPr>
            <w:r>
              <w:rPr>
                <w:rFonts w:hint="eastAsia"/>
                <w:lang w:val="zh-CN"/>
              </w:rPr>
              <w:t>1、办公区域：生活污水排放至城市管网。噪声：办公现场不产生明显噪声。</w:t>
            </w:r>
          </w:p>
          <w:p>
            <w:pPr>
              <w:tabs>
                <w:tab w:val="left" w:pos="6597"/>
              </w:tabs>
              <w:spacing w:line="360" w:lineRule="auto"/>
              <w:ind w:firstLine="420" w:firstLineChars="200"/>
              <w:rPr>
                <w:rFonts w:hint="eastAsia"/>
                <w:lang w:val="zh-CN"/>
              </w:rPr>
            </w:pPr>
            <w:r>
              <w:rPr>
                <w:rFonts w:hint="eastAsia"/>
                <w:lang w:val="zh-CN"/>
              </w:rPr>
              <w:t>固废：固体废物主要是生活垃圾、办公产生废纸张废包装物等，配置了垃圾桶、可回收箱分类处置；办公用纸由综合部负责，复印、打印耗材都有综合部统一负责，集中处置。</w:t>
            </w:r>
          </w:p>
          <w:p>
            <w:pPr>
              <w:tabs>
                <w:tab w:val="left" w:pos="6597"/>
              </w:tabs>
              <w:spacing w:line="360" w:lineRule="auto"/>
              <w:ind w:firstLine="420" w:firstLineChars="200"/>
              <w:rPr>
                <w:rFonts w:hint="eastAsia"/>
                <w:lang w:val="zh-CN"/>
              </w:rPr>
            </w:pPr>
            <w:r>
              <w:rPr>
                <w:rFonts w:hint="eastAsia"/>
                <w:lang w:val="zh-CN"/>
              </w:rPr>
              <w:t>2、办公过程注意节约用电，做到人走灯灭，电脑长时间不用时关机，下班前要关闭电源，防止触电。</w:t>
            </w:r>
          </w:p>
          <w:p>
            <w:pPr>
              <w:tabs>
                <w:tab w:val="left" w:pos="6597"/>
              </w:tabs>
              <w:spacing w:line="360" w:lineRule="auto"/>
              <w:ind w:firstLine="420" w:firstLineChars="200"/>
              <w:rPr>
                <w:rFonts w:hint="eastAsia"/>
                <w:lang w:val="zh-CN"/>
              </w:rPr>
            </w:pPr>
            <w:r>
              <w:rPr>
                <w:rFonts w:hint="eastAsia"/>
                <w:lang w:val="zh-CN"/>
              </w:rPr>
              <w:t>3、办公区域禁止吸烟，查看办公区域环境整洁、宽敞、办公设备状态良好、无安全隐患。</w:t>
            </w:r>
          </w:p>
          <w:p>
            <w:pPr>
              <w:tabs>
                <w:tab w:val="left" w:pos="6597"/>
              </w:tabs>
              <w:spacing w:line="360" w:lineRule="auto"/>
              <w:ind w:firstLine="420" w:firstLineChars="200"/>
              <w:rPr>
                <w:rFonts w:hint="eastAsia"/>
                <w:lang w:val="zh-CN"/>
              </w:rPr>
            </w:pPr>
            <w:r>
              <w:rPr>
                <w:rFonts w:hint="eastAsia"/>
                <w:lang w:val="zh-CN"/>
              </w:rPr>
              <w:t>4、工作时间平均每天不超过8小时。</w:t>
            </w:r>
          </w:p>
          <w:p>
            <w:pPr>
              <w:tabs>
                <w:tab w:val="left" w:pos="6597"/>
              </w:tabs>
              <w:spacing w:line="360" w:lineRule="auto"/>
              <w:ind w:firstLine="420" w:firstLineChars="200"/>
              <w:rPr>
                <w:rFonts w:hint="eastAsia"/>
                <w:lang w:val="zh-CN"/>
              </w:rPr>
            </w:pPr>
            <w:r>
              <w:rPr>
                <w:rFonts w:hint="eastAsia"/>
                <w:lang w:val="zh-CN"/>
              </w:rPr>
              <w:t>5、查看办公区域，整洁、光线充足、室内空气良好，办公条件较好，办公设备安全状态良好，教育员工正确使用办公设备，规范用电，无乱拉线现象，防止火灾发生。</w:t>
            </w:r>
          </w:p>
          <w:p>
            <w:pPr>
              <w:tabs>
                <w:tab w:val="left" w:pos="6597"/>
              </w:tabs>
              <w:spacing w:line="360" w:lineRule="auto"/>
              <w:ind w:firstLine="420" w:firstLineChars="200"/>
              <w:rPr>
                <w:rFonts w:hint="eastAsia"/>
                <w:lang w:val="zh-CN"/>
              </w:rPr>
            </w:pPr>
            <w:r>
              <w:rPr>
                <w:rFonts w:hint="eastAsia"/>
                <w:lang w:val="zh-CN"/>
              </w:rPr>
              <w:t>7、相关方施加影响：公司能够控制或能够施加影响的相关方有顾客等。提供了“致相关方的公开信”，将公司的环境/安全控制要求发放</w:t>
            </w:r>
            <w:r>
              <w:rPr>
                <w:rFonts w:hint="eastAsia"/>
                <w:lang w:val="en-US" w:eastAsia="zh-CN"/>
              </w:rPr>
              <w:t>给</w:t>
            </w:r>
            <w:r>
              <w:rPr>
                <w:rFonts w:hint="eastAsia"/>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tabs>
                <w:tab w:val="left" w:pos="6597"/>
              </w:tabs>
              <w:spacing w:line="360" w:lineRule="auto"/>
              <w:ind w:firstLine="420" w:firstLineChars="200"/>
            </w:pPr>
            <w:r>
              <w:rPr>
                <w:rFonts w:hint="eastAsia"/>
                <w:lang w:val="zh-CN"/>
              </w:rPr>
              <w:t>8、要求遵守道路交通法规，不违章驾车，驾驶证和车辆定期年审，确保行车安全。</w:t>
            </w:r>
          </w:p>
          <w:p>
            <w:pPr>
              <w:tabs>
                <w:tab w:val="left" w:pos="6597"/>
              </w:tabs>
              <w:spacing w:line="360" w:lineRule="auto"/>
              <w:ind w:firstLine="420" w:firstLineChars="200"/>
              <w:rPr>
                <w:rFonts w:hint="eastAsia"/>
                <w:lang w:val="en-US" w:eastAsia="zh-CN"/>
              </w:rPr>
            </w:pPr>
          </w:p>
          <w:p>
            <w:pPr>
              <w:tabs>
                <w:tab w:val="left" w:pos="6597"/>
              </w:tabs>
              <w:spacing w:line="360" w:lineRule="auto"/>
              <w:ind w:firstLine="420" w:firstLineChars="200"/>
              <w:rPr>
                <w:rFonts w:hint="eastAsia"/>
                <w:lang w:val="en-US" w:eastAsia="zh-CN"/>
              </w:rPr>
            </w:pPr>
            <w:r>
              <w:rPr>
                <w:rFonts w:hint="eastAsia"/>
                <w:lang w:val="en-US" w:eastAsia="zh-CN"/>
              </w:rPr>
              <w:t>查看《灭火器点检表》、《消防设点检表》和《安全检查记录表》，日常点检均合格</w:t>
            </w:r>
            <w:r>
              <w:rPr>
                <w:rFonts w:hint="eastAsia"/>
              </w:rPr>
              <w:t>近一年无工伤发生；</w:t>
            </w:r>
          </w:p>
          <w:p>
            <w:pPr>
              <w:tabs>
                <w:tab w:val="left" w:pos="6597"/>
              </w:tabs>
              <w:spacing w:line="360" w:lineRule="auto"/>
              <w:ind w:firstLine="420" w:firstLineChars="200"/>
            </w:pPr>
          </w:p>
        </w:tc>
        <w:tc>
          <w:tcPr>
            <w:tcW w:w="1585" w:type="dxa"/>
          </w:tcPr>
          <w:p>
            <w:pPr>
              <w:rPr>
                <w:rFonts w:ascii="楷体" w:hAnsi="楷体" w:eastAsia="楷体"/>
              </w:rPr>
            </w:pPr>
            <w:r>
              <w:rPr>
                <w:rFonts w:hint="eastAsia" w:ascii="楷体" w:hAnsi="楷体" w:eastAsia="楷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cs="Arial"/>
                <w:sz w:val="24"/>
                <w:szCs w:val="24"/>
              </w:rPr>
              <w:t>应急准备和响应。</w:t>
            </w:r>
          </w:p>
        </w:tc>
        <w:tc>
          <w:tcPr>
            <w:tcW w:w="960" w:type="dxa"/>
          </w:tcPr>
          <w:p>
            <w:pPr>
              <w:rPr>
                <w:rFonts w:ascii="楷体" w:hAnsi="楷体" w:eastAsia="楷体" w:cs="Arial"/>
                <w:sz w:val="24"/>
                <w:szCs w:val="24"/>
              </w:rPr>
            </w:pPr>
          </w:p>
          <w:p>
            <w:pPr>
              <w:rPr>
                <w:rFonts w:ascii="楷体" w:hAnsi="楷体" w:eastAsia="楷体" w:cs="Arial"/>
                <w:sz w:val="24"/>
                <w:szCs w:val="24"/>
              </w:rPr>
            </w:pPr>
          </w:p>
          <w:p>
            <w:pPr>
              <w:rPr>
                <w:rFonts w:ascii="楷体" w:hAnsi="楷体" w:eastAsia="楷体" w:cs="Arial"/>
                <w:sz w:val="24"/>
                <w:szCs w:val="24"/>
              </w:rPr>
            </w:pPr>
          </w:p>
          <w:p>
            <w:pPr>
              <w:rPr>
                <w:rFonts w:ascii="楷体" w:hAnsi="楷体" w:eastAsia="楷体"/>
                <w:sz w:val="24"/>
                <w:szCs w:val="24"/>
              </w:rPr>
            </w:pPr>
            <w:r>
              <w:rPr>
                <w:rFonts w:hint="eastAsia" w:ascii="楷体" w:hAnsi="楷体" w:eastAsia="楷体"/>
                <w:sz w:val="24"/>
                <w:szCs w:val="24"/>
                <w:lang w:val="en-US" w:eastAsia="zh-CN"/>
              </w:rPr>
              <w:t>EO</w:t>
            </w:r>
            <w:r>
              <w:rPr>
                <w:rFonts w:hint="eastAsia" w:ascii="楷体" w:hAnsi="楷体" w:eastAsia="楷体" w:cs="Arial"/>
                <w:sz w:val="24"/>
                <w:szCs w:val="24"/>
              </w:rPr>
              <w:t>8.2</w:t>
            </w:r>
          </w:p>
        </w:tc>
        <w:tc>
          <w:tcPr>
            <w:tcW w:w="10004" w:type="dxa"/>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公司编制了《火灾应急预案》，其中包括目的、适用范围、职责、应急领导小组成员职责、程序、现场应急措施等，相关内容基本充分。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20</w:t>
            </w:r>
            <w:r>
              <w:rPr>
                <w:rFonts w:hint="eastAsia" w:ascii="楷体" w:hAnsi="楷体" w:eastAsia="楷体"/>
                <w:sz w:val="24"/>
                <w:szCs w:val="24"/>
                <w:lang w:val="en-US" w:eastAsia="zh-CN"/>
              </w:rPr>
              <w:t>22</w:t>
            </w:r>
            <w:r>
              <w:rPr>
                <w:rFonts w:hint="eastAsia" w:ascii="楷体" w:hAnsi="楷体" w:eastAsia="楷体"/>
                <w:sz w:val="24"/>
                <w:szCs w:val="24"/>
              </w:rPr>
              <w:t>.</w:t>
            </w:r>
            <w:r>
              <w:rPr>
                <w:rFonts w:hint="eastAsia" w:ascii="楷体" w:hAnsi="楷体" w:eastAsia="楷体"/>
                <w:sz w:val="24"/>
                <w:szCs w:val="24"/>
                <w:lang w:val="en-US" w:eastAsia="zh-CN"/>
              </w:rPr>
              <w:t>6</w:t>
            </w:r>
            <w:r>
              <w:rPr>
                <w:rFonts w:hint="eastAsia" w:ascii="楷体" w:hAnsi="楷体" w:eastAsia="楷体"/>
                <w:sz w:val="24"/>
                <w:szCs w:val="24"/>
              </w:rPr>
              <w:t>.</w:t>
            </w:r>
            <w:r>
              <w:rPr>
                <w:rFonts w:hint="eastAsia" w:ascii="楷体" w:hAnsi="楷体" w:eastAsia="楷体"/>
                <w:sz w:val="24"/>
                <w:szCs w:val="24"/>
                <w:lang w:val="en-US" w:eastAsia="zh-CN"/>
              </w:rPr>
              <w:t>15</w:t>
            </w:r>
            <w:r>
              <w:rPr>
                <w:rFonts w:hint="eastAsia" w:ascii="楷体" w:hAnsi="楷体" w:eastAsia="楷体"/>
                <w:sz w:val="24"/>
                <w:szCs w:val="24"/>
              </w:rPr>
              <w:t>日参加了由</w:t>
            </w:r>
            <w:r>
              <w:rPr>
                <w:rFonts w:hint="eastAsia" w:ascii="楷体" w:hAnsi="楷体" w:eastAsia="楷体"/>
                <w:sz w:val="24"/>
                <w:szCs w:val="24"/>
                <w:lang w:eastAsia="zh-CN"/>
              </w:rPr>
              <w:t>管理科</w:t>
            </w:r>
            <w:r>
              <w:rPr>
                <w:rFonts w:hint="eastAsia" w:ascii="楷体" w:hAnsi="楷体" w:eastAsia="楷体"/>
                <w:sz w:val="24"/>
                <w:szCs w:val="24"/>
              </w:rPr>
              <w:t>组织的消防演练。</w:t>
            </w:r>
          </w:p>
          <w:p>
            <w:pPr>
              <w:pStyle w:val="3"/>
              <w:jc w:val="left"/>
              <w:rPr>
                <w:rFonts w:ascii="楷体" w:hAnsi="楷体" w:eastAsia="楷体"/>
                <w:kern w:val="2"/>
                <w:sz w:val="24"/>
                <w:szCs w:val="24"/>
              </w:rPr>
            </w:pPr>
            <w:r>
              <w:rPr>
                <w:rFonts w:hint="eastAsia" w:ascii="楷体" w:hAnsi="楷体" w:eastAsia="楷体"/>
                <w:kern w:val="2"/>
                <w:sz w:val="24"/>
                <w:szCs w:val="24"/>
              </w:rPr>
              <w:t xml:space="preserve">    现场查看成品区有消防栓和灭火器若干个，状态良好。</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自体系运行以来未发生应急情况。</w:t>
            </w:r>
          </w:p>
        </w:tc>
        <w:tc>
          <w:tcPr>
            <w:tcW w:w="1585" w:type="dxa"/>
          </w:tcPr>
          <w:p>
            <w:pPr>
              <w:rPr>
                <w:rFonts w:ascii="楷体" w:hAnsi="楷体" w:eastAsia="楷体"/>
              </w:rPr>
            </w:pPr>
            <w:r>
              <w:rPr>
                <w:rFonts w:hint="eastAsia" w:ascii="楷体" w:hAnsi="楷体" w:eastAsia="楷体"/>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9973B4"/>
    <w:rsid w:val="000066C2"/>
    <w:rsid w:val="000237F6"/>
    <w:rsid w:val="0003373A"/>
    <w:rsid w:val="000400E2"/>
    <w:rsid w:val="00062E46"/>
    <w:rsid w:val="00092A40"/>
    <w:rsid w:val="001A2D7F"/>
    <w:rsid w:val="002939AD"/>
    <w:rsid w:val="002C7BA6"/>
    <w:rsid w:val="00337922"/>
    <w:rsid w:val="00340867"/>
    <w:rsid w:val="0034705B"/>
    <w:rsid w:val="00353B9E"/>
    <w:rsid w:val="00380837"/>
    <w:rsid w:val="003A198A"/>
    <w:rsid w:val="00410914"/>
    <w:rsid w:val="004254DD"/>
    <w:rsid w:val="004D7B71"/>
    <w:rsid w:val="00536930"/>
    <w:rsid w:val="00564E53"/>
    <w:rsid w:val="005C2726"/>
    <w:rsid w:val="005C49B8"/>
    <w:rsid w:val="005D5659"/>
    <w:rsid w:val="00600C20"/>
    <w:rsid w:val="00644FE2"/>
    <w:rsid w:val="0067640C"/>
    <w:rsid w:val="00685C70"/>
    <w:rsid w:val="00697AC0"/>
    <w:rsid w:val="006E678B"/>
    <w:rsid w:val="007757F3"/>
    <w:rsid w:val="007E6AEB"/>
    <w:rsid w:val="008973EE"/>
    <w:rsid w:val="00901066"/>
    <w:rsid w:val="00971600"/>
    <w:rsid w:val="009973B4"/>
    <w:rsid w:val="009C28C1"/>
    <w:rsid w:val="009F7EED"/>
    <w:rsid w:val="00A6150F"/>
    <w:rsid w:val="00A80636"/>
    <w:rsid w:val="00A9097C"/>
    <w:rsid w:val="00AF0AAB"/>
    <w:rsid w:val="00B612BC"/>
    <w:rsid w:val="00BA6EB7"/>
    <w:rsid w:val="00BF597E"/>
    <w:rsid w:val="00C20740"/>
    <w:rsid w:val="00C51A36"/>
    <w:rsid w:val="00C55228"/>
    <w:rsid w:val="00CE315A"/>
    <w:rsid w:val="00D06F59"/>
    <w:rsid w:val="00D154F5"/>
    <w:rsid w:val="00D8388C"/>
    <w:rsid w:val="00E60392"/>
    <w:rsid w:val="00E6224C"/>
    <w:rsid w:val="00EA6B0E"/>
    <w:rsid w:val="00EB0164"/>
    <w:rsid w:val="00ED0F62"/>
    <w:rsid w:val="00FC0225"/>
    <w:rsid w:val="0A0F1269"/>
    <w:rsid w:val="108219C2"/>
    <w:rsid w:val="1156750C"/>
    <w:rsid w:val="1B223A41"/>
    <w:rsid w:val="1BE603B8"/>
    <w:rsid w:val="1C6B122D"/>
    <w:rsid w:val="1CE867ED"/>
    <w:rsid w:val="1D587B10"/>
    <w:rsid w:val="1FCD0363"/>
    <w:rsid w:val="22AA6901"/>
    <w:rsid w:val="288F401F"/>
    <w:rsid w:val="3B990449"/>
    <w:rsid w:val="57EF6FA1"/>
    <w:rsid w:val="58320CB3"/>
    <w:rsid w:val="5CA70AAC"/>
    <w:rsid w:val="5E08692D"/>
    <w:rsid w:val="5EA12B9A"/>
    <w:rsid w:val="6F426B0D"/>
    <w:rsid w:val="6FB44739"/>
    <w:rsid w:val="719F359D"/>
    <w:rsid w:val="78047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2"/>
    <w:semiHidden/>
    <w:unhideWhenUsed/>
    <w:qFormat/>
    <w:uiPriority w:val="99"/>
    <w:rPr>
      <w:sz w:val="18"/>
      <w:szCs w:val="18"/>
    </w:rPr>
  </w:style>
  <w:style w:type="paragraph" w:styleId="7">
    <w:name w:val="footer"/>
    <w:basedOn w:val="1"/>
    <w:link w:val="11"/>
    <w:unhideWhenUsed/>
    <w:qFormat/>
    <w:uiPriority w:val="99"/>
    <w:pPr>
      <w:tabs>
        <w:tab w:val="center" w:pos="4153"/>
        <w:tab w:val="right" w:pos="8306"/>
      </w:tabs>
      <w:snapToGrid w:val="0"/>
      <w:jc w:val="left"/>
    </w:pPr>
    <w:rPr>
      <w:sz w:val="18"/>
      <w:szCs w:val="18"/>
    </w:rPr>
  </w:style>
  <w:style w:type="character" w:customStyle="1" w:styleId="10">
    <w:name w:val="页眉 Char"/>
    <w:basedOn w:val="9"/>
    <w:link w:val="2"/>
    <w:qFormat/>
    <w:uiPriority w:val="99"/>
    <w:rPr>
      <w:rFonts w:ascii="Times New Roman" w:hAnsi="Times New Roman" w:eastAsia="宋体" w:cs="Times New Roman"/>
      <w:sz w:val="18"/>
      <w:szCs w:val="18"/>
    </w:rPr>
  </w:style>
  <w:style w:type="character" w:customStyle="1" w:styleId="11">
    <w:name w:val="页脚 Char"/>
    <w:basedOn w:val="9"/>
    <w:link w:val="7"/>
    <w:qFormat/>
    <w:uiPriority w:val="99"/>
    <w:rPr>
      <w:rFonts w:ascii="Times New Roman" w:hAnsi="Times New Roman" w:eastAsia="宋体" w:cs="Times New Roman"/>
      <w:sz w:val="18"/>
      <w:szCs w:val="18"/>
    </w:rPr>
  </w:style>
  <w:style w:type="character" w:customStyle="1" w:styleId="12">
    <w:name w:val="批注框文本 Char"/>
    <w:basedOn w:val="9"/>
    <w:link w:val="6"/>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1808</Words>
  <Characters>1917</Characters>
  <Lines>8</Lines>
  <Paragraphs>2</Paragraphs>
  <TotalTime>0</TotalTime>
  <ScaleCrop>false</ScaleCrop>
  <LinksUpToDate>false</LinksUpToDate>
  <CharactersWithSpaces>2005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2022-08-13T06:46:25Z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D6AC582F8D314579B3E6FEC24989FF4C</vt:lpwstr>
  </property>
</Properties>
</file>