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default"/>
          <w:sz w:val="36"/>
          <w:szCs w:val="36"/>
          <w:lang w:val="en-US"/>
        </w:rPr>
        <w:t>2022</w:t>
      </w:r>
      <w:r>
        <w:rPr>
          <w:rFonts w:hint="eastAsia"/>
          <w:sz w:val="36"/>
          <w:szCs w:val="36"/>
        </w:rPr>
        <w:t>年单位产品能耗</w:t>
      </w:r>
      <w:r>
        <w:rPr>
          <w:sz w:val="36"/>
          <w:szCs w:val="36"/>
        </w:rPr>
        <w:t>逐步升高原因分析</w:t>
      </w:r>
      <w:r>
        <w:rPr>
          <w:rFonts w:hint="eastAsia"/>
          <w:sz w:val="36"/>
          <w:szCs w:val="36"/>
        </w:rPr>
        <w:t>和纠正措施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val="en-US"/>
        </w:rPr>
        <w:t>2020</w:t>
      </w:r>
      <w:r>
        <w:rPr>
          <w:sz w:val="28"/>
          <w:szCs w:val="28"/>
        </w:rPr>
        <w:t>年单位产品能耗为</w:t>
      </w:r>
      <w:r>
        <w:rPr>
          <w:rFonts w:hint="default"/>
          <w:sz w:val="28"/>
          <w:szCs w:val="28"/>
          <w:lang w:val="en-US"/>
        </w:rPr>
        <w:t>0.87kgce/m</w:t>
      </w:r>
      <w:r>
        <w:rPr>
          <w:rFonts w:hint="default"/>
          <w:sz w:val="28"/>
          <w:szCs w:val="28"/>
          <w:vertAlign w:val="superscript"/>
          <w:lang w:val="en-US"/>
        </w:rPr>
        <w:t>3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年单位产品能耗为</w:t>
      </w:r>
      <w:r>
        <w:rPr>
          <w:rFonts w:hint="default"/>
          <w:sz w:val="28"/>
          <w:szCs w:val="28"/>
          <w:lang w:val="en-US"/>
        </w:rPr>
        <w:t>0.87kgce/m</w:t>
      </w:r>
      <w:r>
        <w:rPr>
          <w:rFonts w:hint="default"/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</w:rPr>
        <w:t>，202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1-7</w:t>
      </w:r>
      <w:r>
        <w:rPr>
          <w:sz w:val="28"/>
          <w:szCs w:val="28"/>
        </w:rPr>
        <w:t>的单位</w:t>
      </w:r>
      <w:r>
        <w:rPr>
          <w:rFonts w:hint="eastAsia"/>
          <w:sz w:val="28"/>
          <w:szCs w:val="28"/>
          <w:lang w:val="en-US" w:eastAsia="zh-CN"/>
        </w:rPr>
        <w:t>产值</w:t>
      </w:r>
      <w:r>
        <w:rPr>
          <w:sz w:val="28"/>
          <w:szCs w:val="28"/>
        </w:rPr>
        <w:t>能耗为</w:t>
      </w:r>
      <w:r>
        <w:rPr>
          <w:rFonts w:hint="default"/>
          <w:sz w:val="28"/>
          <w:szCs w:val="28"/>
          <w:lang w:val="en-US"/>
        </w:rPr>
        <w:t>0.93kgce/m</w:t>
      </w:r>
      <w:r>
        <w:rPr>
          <w:rFonts w:hint="default"/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</w:rPr>
        <w:t>，</w:t>
      </w:r>
      <w:r>
        <w:rPr>
          <w:rFonts w:hint="default"/>
          <w:sz w:val="28"/>
          <w:szCs w:val="28"/>
          <w:lang w:val="en-US"/>
        </w:rPr>
        <w:t>2022</w:t>
      </w:r>
      <w:r>
        <w:rPr>
          <w:rFonts w:hint="eastAsia"/>
          <w:sz w:val="28"/>
          <w:szCs w:val="28"/>
          <w:lang w:val="en-US" w:eastAsia="zh-CN"/>
        </w:rPr>
        <w:t>年1--7月份有所升高，</w:t>
      </w:r>
      <w:r>
        <w:rPr>
          <w:rFonts w:hint="eastAsia"/>
          <w:sz w:val="28"/>
          <w:szCs w:val="28"/>
          <w:lang w:eastAsia="zh-CN"/>
        </w:rPr>
        <w:t>主要原因分析如下：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红线为国家限额，蓝线为本公司每年单位产品能耗趋势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405120" cy="3333750"/>
            <wp:effectExtent l="4445" t="4445" r="19685" b="14605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  <w:lang w:eastAsia="zh-CN"/>
        </w:rPr>
        <w:t>具体</w:t>
      </w:r>
      <w:r>
        <w:rPr>
          <w:rFonts w:hint="eastAsia"/>
          <w:sz w:val="28"/>
          <w:szCs w:val="28"/>
        </w:rPr>
        <w:t>原因如下：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  <w:lang w:val="en-US" w:eastAsia="zh-CN"/>
        </w:rPr>
        <w:t>2022年2月中旬</w:t>
      </w:r>
      <w:r>
        <w:rPr>
          <w:rFonts w:hint="eastAsia"/>
          <w:sz w:val="28"/>
          <w:szCs w:val="28"/>
        </w:rPr>
        <w:t>受到新冠</w:t>
      </w:r>
      <w:r>
        <w:rPr>
          <w:sz w:val="28"/>
          <w:szCs w:val="28"/>
        </w:rPr>
        <w:t>疫情</w:t>
      </w:r>
      <w:r>
        <w:rPr>
          <w:rFonts w:hint="eastAsia"/>
          <w:sz w:val="28"/>
          <w:szCs w:val="28"/>
          <w:lang w:eastAsia="zh-CN"/>
        </w:rPr>
        <w:t>外部因素</w:t>
      </w:r>
      <w:r>
        <w:rPr>
          <w:rFonts w:hint="eastAsia"/>
          <w:sz w:val="28"/>
          <w:szCs w:val="28"/>
        </w:rPr>
        <w:t>的影响，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</w:rPr>
        <w:t>企业订单量</w:t>
      </w:r>
      <w:r>
        <w:rPr>
          <w:rFonts w:hint="eastAsia"/>
          <w:sz w:val="28"/>
          <w:szCs w:val="28"/>
          <w:lang w:eastAsia="zh-CN"/>
        </w:rPr>
        <w:t>下滑严重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生产不能连续进行</w:t>
      </w:r>
      <w:r>
        <w:rPr>
          <w:rFonts w:hint="eastAsia"/>
          <w:sz w:val="28"/>
          <w:szCs w:val="28"/>
          <w:lang w:eastAsia="zh-CN"/>
        </w:rPr>
        <w:t>设备稼动率低</w:t>
      </w:r>
      <w:r>
        <w:rPr>
          <w:rFonts w:hint="eastAsia"/>
          <w:sz w:val="28"/>
          <w:szCs w:val="28"/>
          <w:lang w:val="en-US" w:eastAsia="zh-CN"/>
        </w:rPr>
        <w:t>50%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（因生产环境要求机组设备</w:t>
      </w:r>
      <w:r>
        <w:rPr>
          <w:rFonts w:hint="eastAsia"/>
          <w:sz w:val="28"/>
          <w:szCs w:val="28"/>
          <w:lang w:val="en-US" w:eastAsia="zh-CN"/>
        </w:rPr>
        <w:t>24小时开启</w:t>
      </w:r>
      <w:r>
        <w:rPr>
          <w:rFonts w:hint="eastAsia"/>
          <w:sz w:val="28"/>
          <w:szCs w:val="28"/>
          <w:lang w:eastAsia="zh-CN"/>
        </w:rPr>
        <w:t>）整体产能与预期不匹配</w:t>
      </w:r>
      <w:r>
        <w:rPr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造成</w:t>
      </w:r>
      <w:r>
        <w:rPr>
          <w:rFonts w:hint="eastAsia"/>
          <w:sz w:val="28"/>
          <w:szCs w:val="28"/>
          <w:lang w:eastAsia="zh-CN"/>
        </w:rPr>
        <w:t>能</w:t>
      </w:r>
      <w:r>
        <w:rPr>
          <w:rFonts w:hint="eastAsia"/>
          <w:sz w:val="28"/>
          <w:szCs w:val="28"/>
        </w:rPr>
        <w:t>耗升高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企业进行环保投资，改建新建环保设施，能耗上有所增加。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</w:t>
      </w:r>
      <w:r>
        <w:rPr>
          <w:rFonts w:hint="eastAsia"/>
          <w:sz w:val="28"/>
          <w:szCs w:val="28"/>
          <w:lang w:eastAsia="zh-CN"/>
        </w:rPr>
        <w:t>年初呼和浩特地区新冠疫情再次爆发，大部分施工项目属于停建状态（因疫情原因外来人员无法进入呼市），导致业务停滞，产量大幅下滑。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纠正</w:t>
      </w:r>
      <w:r>
        <w:rPr>
          <w:rFonts w:hint="eastAsia"/>
          <w:sz w:val="28"/>
          <w:szCs w:val="28"/>
        </w:rPr>
        <w:t>措施：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1、加强</w:t>
      </w:r>
      <w:r>
        <w:rPr>
          <w:rFonts w:hint="eastAsia"/>
          <w:sz w:val="28"/>
          <w:szCs w:val="28"/>
          <w:lang w:eastAsia="zh-CN"/>
        </w:rPr>
        <w:t>市场开拓争取多拿订单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合理安排</w:t>
      </w:r>
      <w:r>
        <w:rPr>
          <w:rFonts w:hint="eastAsia"/>
          <w:sz w:val="28"/>
          <w:szCs w:val="28"/>
          <w:lang w:eastAsia="zh-CN"/>
        </w:rPr>
        <w:t>生产</w:t>
      </w:r>
      <w:r>
        <w:rPr>
          <w:rFonts w:hint="eastAsia"/>
          <w:sz w:val="28"/>
          <w:szCs w:val="28"/>
          <w:lang w:val="en-US" w:eastAsia="zh-CN"/>
        </w:rPr>
        <w:t>保持生产</w:t>
      </w:r>
      <w:r>
        <w:rPr>
          <w:rFonts w:hint="eastAsia"/>
          <w:sz w:val="28"/>
          <w:szCs w:val="28"/>
        </w:rPr>
        <w:t>连续性、规模性生产，降低单位产品能耗：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2、提高职工的操作技能，提高</w:t>
      </w:r>
      <w:r>
        <w:rPr>
          <w:rFonts w:hint="eastAsia"/>
          <w:sz w:val="28"/>
          <w:szCs w:val="28"/>
        </w:rPr>
        <w:t>生产效率</w:t>
      </w:r>
      <w:r>
        <w:rPr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生产过程中注意节能，不生产时及时关闭能源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4、加大新技术、新工艺、新材料、新设备时要把其节能性、耗能指标放在首选位置。在技术开发中，重视节能技术的研发。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内蒙古杭萧盛基绿色建筑科技有限公司   生产部 </w:t>
      </w:r>
    </w:p>
    <w:p>
      <w:pPr>
        <w:ind w:left="5587" w:leftChars="2394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2022.8.16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2488A"/>
    <w:multiLevelType w:val="multilevel"/>
    <w:tmpl w:val="561248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N2JkODY3ZjBiZDc3NWRkZWFkYmZkY2UwZTkyYjcifQ=="/>
  </w:docVars>
  <w:rsids>
    <w:rsidRoot w:val="00A73A6F"/>
    <w:rsid w:val="000C1788"/>
    <w:rsid w:val="001101C6"/>
    <w:rsid w:val="00186B76"/>
    <w:rsid w:val="003D1873"/>
    <w:rsid w:val="0069092E"/>
    <w:rsid w:val="009F1F7C"/>
    <w:rsid w:val="00A73A6F"/>
    <w:rsid w:val="00BC1ADF"/>
    <w:rsid w:val="00BC577C"/>
    <w:rsid w:val="00CE3EC2"/>
    <w:rsid w:val="00E736A7"/>
    <w:rsid w:val="00FF1426"/>
    <w:rsid w:val="03E92FA7"/>
    <w:rsid w:val="05783F4B"/>
    <w:rsid w:val="28672ECC"/>
    <w:rsid w:val="35F6494A"/>
    <w:rsid w:val="3DEB5456"/>
    <w:rsid w:val="41F13B32"/>
    <w:rsid w:val="456607F7"/>
    <w:rsid w:val="4D2402E2"/>
    <w:rsid w:val="57D918EE"/>
    <w:rsid w:val="642B57DB"/>
    <w:rsid w:val="70CC3B6E"/>
    <w:rsid w:val="72912C47"/>
    <w:rsid w:val="729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3457;&#26680;&#36164;&#26009;\&#33021;&#28304;\&#22269;&#26631;&#32852;&#21512;\2022\&#20869;&#33945;&#21476;&#26477;&#33831;&#30427;&#22522;&#32511;&#33394;&#24314;&#31569;&#31185;&#25216;&#26377;&#38480;&#20844;&#21496;\&#26032;&#24314;&#25991;&#20214;&#22841;\2022&#24180;&#28151;&#20957;&#22303;&#20844;&#21496;&#33021;&#28304;&#28040;&#32791;&#27719;&#246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预拌混凝土单位产品能耗曲线图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'[2022年混凝土公司能源消耗汇总.xlsx]2022年能源消费量'!$I$9:$I$11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2022年1-7月</c:v>
                </c:pt>
              </c:strCache>
            </c:strRef>
          </c:cat>
          <c:val>
            <c:numRef>
              <c:f>'[2022年混凝土公司能源消耗汇总.xlsx]2022年能源消费量'!$J$9:$J$11</c:f>
              <c:numCache>
                <c:formatCode>General</c:formatCode>
                <c:ptCount val="3"/>
                <c:pt idx="0">
                  <c:v>0.87</c:v>
                </c:pt>
                <c:pt idx="1">
                  <c:v>0.87</c:v>
                </c:pt>
                <c:pt idx="2">
                  <c:v>0.93</c:v>
                </c:pt>
              </c:numCache>
            </c:numRef>
          </c:val>
          <c:smooth val="0"/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'[2022年混凝土公司能源消耗汇总.xlsx]2022年能源消费量'!$I$9:$I$11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2022年1-7月</c:v>
                </c:pt>
              </c:strCache>
            </c:strRef>
          </c:cat>
          <c:val>
            <c:numRef>
              <c:f>'[2022年混凝土公司能源消耗汇总.xlsx]2022年能源消费量'!$K$9:$K$11</c:f>
              <c:numCache>
                <c:formatCode>General</c:formatCode>
                <c:ptCount val="3"/>
                <c:pt idx="0">
                  <c:v>1.1</c:v>
                </c:pt>
                <c:pt idx="1">
                  <c:v>1.1</c:v>
                </c:pt>
                <c:pt idx="2">
                  <c:v>1.1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59310688"/>
        <c:axId val="546933531"/>
      </c:lineChart>
      <c:catAx>
        <c:axId val="45931068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年份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6933531"/>
        <c:crosses val="autoZero"/>
        <c:auto val="1"/>
        <c:lblAlgn val="ctr"/>
        <c:lblOffset val="100"/>
        <c:noMultiLvlLbl val="0"/>
      </c:catAx>
      <c:valAx>
        <c:axId val="5469335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单位产品能耗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9310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708333333333"/>
          <c:y val="0.8946759259259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496</Characters>
  <Lines>2</Lines>
  <Paragraphs>1</Paragraphs>
  <TotalTime>4</TotalTime>
  <ScaleCrop>false</ScaleCrop>
  <LinksUpToDate>false</LinksUpToDate>
  <CharactersWithSpaces>556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2022-07-21T04:02:00Z</dcterms:created>
  <dc:creator>Ruan GuoLiang</dc:creator>
  <cp:lastModifiedBy>云英</cp:lastModifiedBy>
  <cp:lastPrinted>2022-08-16T07:24:34Z</cp:lastPrinted>
  <dcterms:modified xsi:type="dcterms:W3CDTF">2022-08-16T07:27:13Z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BF5A2FF95C38419997F62B41822DF1C4</vt:lpwstr>
  </property>
</Properties>
</file>