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0937-2022-EnMS</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内蒙古杭萧盛基绿色建筑科技有限公司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内蒙古杭萧盛基绿色建筑科技有限公司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内蒙古自治区呼和浩特市和林格尔县姑子板村委会</w:t>
            </w:r>
            <w:bookmarkEnd w:id="6"/>
          </w:p>
        </w:tc>
        <w:tc>
          <w:tcPr>
            <w:tcW w:w="1242" w:type="dxa"/>
            <w:vMerge w:val="restart"/>
            <w:vAlign w:val="center"/>
          </w:tcPr>
          <w:p>
            <w:r>
              <w:rPr>
                <w:rFonts w:hint="eastAsia"/>
              </w:rPr>
              <w:t>邮编</w:t>
            </w:r>
          </w:p>
        </w:tc>
        <w:tc>
          <w:tcPr>
            <w:tcW w:w="1771" w:type="dxa"/>
          </w:tcPr>
          <w:p>
            <w:bookmarkStart w:id="7" w:name="注册邮编"/>
            <w:r>
              <w:t>010000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内蒙古自治区呼和浩特市和林格尔县姑子板村委会</w:t>
            </w:r>
            <w:bookmarkEnd w:id="8"/>
          </w:p>
        </w:tc>
        <w:tc>
          <w:tcPr>
            <w:tcW w:w="1242" w:type="dxa"/>
            <w:vMerge w:val="continue"/>
            <w:vAlign w:val="center"/>
          </w:tcPr>
          <w:p/>
        </w:tc>
        <w:tc>
          <w:tcPr>
            <w:tcW w:w="1771" w:type="dxa"/>
          </w:tcPr>
          <w:p>
            <w:bookmarkStart w:id="9" w:name="办公邮编"/>
            <w:r>
              <w:t>010000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杨建青</w:t>
            </w:r>
            <w:bookmarkEnd w:id="10"/>
          </w:p>
        </w:tc>
        <w:tc>
          <w:tcPr>
            <w:tcW w:w="1313" w:type="dxa"/>
            <w:vAlign w:val="center"/>
          </w:tcPr>
          <w:p>
            <w:r>
              <w:rPr>
                <w:rFonts w:hint="eastAsia"/>
              </w:rPr>
              <w:t>电话.</w:t>
            </w:r>
          </w:p>
        </w:tc>
        <w:tc>
          <w:tcPr>
            <w:tcW w:w="2180" w:type="dxa"/>
            <w:vAlign w:val="center"/>
          </w:tcPr>
          <w:p>
            <w:bookmarkStart w:id="11" w:name="联系人电话"/>
            <w:r>
              <w:t>18586286666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曹利俊</w:t>
            </w:r>
            <w:bookmarkEnd w:id="13"/>
          </w:p>
        </w:tc>
        <w:tc>
          <w:tcPr>
            <w:tcW w:w="1313" w:type="dxa"/>
            <w:vAlign w:val="center"/>
          </w:tcPr>
          <w:p>
            <w:r>
              <w:rPr>
                <w:rFonts w:hint="eastAsia"/>
              </w:rPr>
              <w:t>管理者代表</w:t>
            </w:r>
          </w:p>
        </w:tc>
        <w:tc>
          <w:tcPr>
            <w:tcW w:w="2180" w:type="dxa"/>
          </w:tcPr>
          <w:p>
            <w:bookmarkStart w:id="14" w:name="管理者代表"/>
            <w:r>
              <w:t>苏和</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rPr>
            </w:pPr>
            <w:r>
              <w:rPr>
                <w:rFonts w:hint="eastAsia"/>
              </w:rPr>
              <w:t>多班次说明</w:t>
            </w:r>
          </w:p>
        </w:tc>
        <w:tc>
          <w:tcPr>
            <w:tcW w:w="8058" w:type="dxa"/>
            <w:gridSpan w:val="5"/>
            <w:shd w:val="clear" w:color="auto" w:fill="auto"/>
          </w:tcPr>
          <w:p>
            <w:pPr>
              <w:rPr>
                <w:rFonts w:hint="eastAsia"/>
              </w:rPr>
            </w:pPr>
            <w:r>
              <w:rPr>
                <w:rFonts w:hint="eastAsia"/>
              </w:rPr>
              <w:t>受审核组织的班次：□单班</w:t>
            </w:r>
            <w:r>
              <w:rPr>
                <w:rFonts w:hint="eastAsia"/>
                <w:lang w:eastAsia="zh-CN"/>
              </w:rPr>
              <w:t>☑</w:t>
            </w:r>
            <w:r>
              <w:rPr>
                <w:rFonts w:hint="eastAsia"/>
              </w:rPr>
              <w:t>双班□三班□其他</w:t>
            </w:r>
          </w:p>
          <w:p>
            <w:pPr>
              <w:rPr>
                <w:rFonts w:hint="eastAsia"/>
              </w:rPr>
            </w:pPr>
            <w:r>
              <w:rPr>
                <w:rFonts w:hint="eastAsia"/>
              </w:rPr>
              <w:t>（</w:t>
            </w:r>
            <w:r>
              <w:rPr>
                <w:rFonts w:hint="eastAsia"/>
                <w:lang w:val="en-US" w:eastAsia="zh-CN"/>
              </w:rPr>
              <w:t>白班8：00-20：00；夜班20：00-8：00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0" distR="0">
                  <wp:extent cx="4988560" cy="2810510"/>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988560" cy="2810510"/>
                          </a:xfrm>
                          <a:prstGeom prst="rect">
                            <a:avLst/>
                          </a:prstGeom>
                        </pic:spPr>
                      </pic:pic>
                    </a:graphicData>
                  </a:graphic>
                </wp:inline>
              </w:drawing>
            </w:r>
          </w:p>
          <w:p>
            <w:pPr>
              <w:pStyle w:val="2"/>
            </w:pPr>
            <w:r>
              <w:drawing>
                <wp:inline distT="0" distB="0" distL="0" distR="0">
                  <wp:extent cx="4988560" cy="3076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988560" cy="3076575"/>
                          </a:xfrm>
                          <a:prstGeom prst="rect">
                            <a:avLst/>
                          </a:prstGeom>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3"/>
            <w:tcMar>
              <w:left w:w="113" w:type="dxa"/>
            </w:tcMar>
          </w:tcPr>
          <w:p>
            <w:bookmarkStart w:id="15" w:name="审核日期"/>
            <w:r>
              <w:rPr>
                <w:rFonts w:hint="eastAsia"/>
              </w:rPr>
              <w:t>2022年08月15日 上午至2022年08月16日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0" w:hRule="exact"/>
        </w:trPr>
        <w:tc>
          <w:tcPr>
            <w:tcW w:w="1632" w:type="dxa"/>
          </w:tcPr>
          <w:p>
            <w:r>
              <w:rPr>
                <w:rFonts w:hint="eastAsia"/>
              </w:rPr>
              <w:t>审核准则</w:t>
            </w:r>
          </w:p>
          <w:p/>
        </w:tc>
        <w:tc>
          <w:tcPr>
            <w:tcW w:w="7831" w:type="dxa"/>
            <w:gridSpan w:val="3"/>
            <w:tcMar>
              <w:left w:w="113" w:type="dxa"/>
            </w:tcMar>
          </w:tcPr>
          <w:p>
            <w:pPr>
              <w:rPr>
                <w:lang w:val="de-DE"/>
              </w:rPr>
            </w:pPr>
            <w:r>
              <w:rPr>
                <w:rFonts w:hint="eastAsia"/>
                <w:lang w:val="de-DE" w:eastAsia="zh-CN"/>
              </w:rPr>
              <w:t>☑</w:t>
            </w:r>
            <w:r>
              <w:rPr>
                <w:rFonts w:hint="eastAsia"/>
              </w:rPr>
              <w:t>GB/T 23331-2020/</w:t>
            </w:r>
            <w:r>
              <w:rPr>
                <w:rFonts w:hint="eastAsia"/>
                <w:lang w:val="de-DE"/>
              </w:rPr>
              <w:t>ISO50001：2018标准</w:t>
            </w:r>
          </w:p>
          <w:p>
            <w:pPr>
              <w:rPr>
                <w:rFonts w:ascii="宋体" w:hAnsi="宋体"/>
                <w:b/>
                <w:sz w:val="21"/>
                <w:szCs w:val="21"/>
              </w:rPr>
            </w:pPr>
            <w:r>
              <w:rPr>
                <w:rFonts w:hint="eastAsia"/>
                <w:lang w:val="de-DE" w:eastAsia="zh-CN"/>
              </w:rPr>
              <w:t>☑</w:t>
            </w:r>
            <w:r>
              <w:rPr>
                <w:rFonts w:hint="eastAsia" w:ascii="Times New Roman" w:hAnsi="Times New Roman" w:eastAsia="宋体" w:cs="Times New Roman"/>
              </w:rPr>
              <w:t xml:space="preserve">RB/T </w:t>
            </w:r>
            <w:r>
              <w:rPr>
                <w:rFonts w:hint="eastAsia" w:ascii="Times New Roman" w:hAnsi="Times New Roman" w:eastAsia="宋体" w:cs="Times New Roman"/>
                <w:lang w:val="en-US" w:eastAsia="zh-CN"/>
              </w:rPr>
              <w:t>121-2016能源管理体系 建材（不含水泥、玻璃、陶瓷）认证要求</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pPr>
              <w:rPr>
                <w:rFonts w:hint="eastAsia"/>
                <w:lang w:val="de-DE"/>
              </w:rPr>
            </w:pPr>
            <w:r>
              <w:rPr>
                <w:rFonts w:hint="eastAsia"/>
                <w:lang w:val="de-DE" w:eastAsia="zh-CN"/>
              </w:rPr>
              <w:t>☑</w:t>
            </w:r>
            <w:r>
              <w:rPr>
                <w:rFonts w:hint="eastAsia"/>
                <w:lang w:val="de-DE"/>
              </w:rPr>
              <w:t>适用于受审核方的法律法规及其他要求</w:t>
            </w:r>
          </w:p>
          <w:p>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0" w:name="初审Add1"/>
            <w:r>
              <w:rPr>
                <w:rFonts w:hint="eastAsia"/>
              </w:rPr>
              <w:t>■</w:t>
            </w:r>
            <w:bookmarkEnd w:id="20"/>
            <w:r>
              <w:rPr>
                <w:rFonts w:hint="eastAsia"/>
              </w:rPr>
              <w:t>初审二阶段</w:t>
            </w:r>
            <w:bookmarkStart w:id="21" w:name="监督勾选"/>
            <w:r>
              <w:rPr>
                <w:rFonts w:hint="eastAsia"/>
              </w:rPr>
              <w:t>□</w:t>
            </w:r>
            <w:bookmarkEnd w:id="21"/>
            <w:r>
              <w:rPr>
                <w:rFonts w:hint="eastAsia"/>
              </w:rPr>
              <w:t>监督第</w:t>
            </w:r>
            <w:bookmarkStart w:id="22" w:name="监督次数"/>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b/>
                <w:color w:val="000000"/>
                <w:szCs w:val="21"/>
                <w:lang w:eastAsia="zh-CN"/>
              </w:rPr>
            </w:pPr>
            <w:r>
              <w:rPr>
                <w:rFonts w:hint="eastAsia" w:ascii="宋体" w:hAnsi="Times New Roman" w:eastAsia="宋体" w:cs="Times New Roman"/>
                <w:b/>
                <w:color w:val="000000"/>
                <w:szCs w:val="21"/>
                <w:lang w:val="en-US" w:eastAsia="zh-CN"/>
              </w:rPr>
              <w:t>现场：</w:t>
            </w:r>
            <w:r>
              <w:rPr>
                <w:rFonts w:ascii="宋体"/>
                <w:b/>
                <w:color w:val="000000"/>
                <w:szCs w:val="21"/>
              </w:rPr>
              <w:t>内蒙古自治区呼和浩特市和林格尔县姑子板村委会</w:t>
            </w:r>
            <w:r>
              <w:rPr>
                <w:rFonts w:hint="eastAsia" w:ascii="宋体"/>
                <w:b/>
                <w:color w:val="000000"/>
                <w:szCs w:val="21"/>
                <w:lang w:eastAsia="zh-CN"/>
              </w:rPr>
              <w:t>（</w:t>
            </w:r>
            <w:r>
              <w:rPr>
                <w:rFonts w:hint="eastAsia" w:ascii="宋体"/>
                <w:b/>
                <w:color w:val="000000"/>
                <w:szCs w:val="21"/>
                <w:lang w:val="en-US" w:eastAsia="zh-CN"/>
              </w:rPr>
              <w:t>周涛、杜凤磊</w:t>
            </w:r>
            <w:r>
              <w:rPr>
                <w:rFonts w:hint="eastAsia" w:ascii="宋体"/>
                <w:b/>
                <w:color w:val="000000"/>
                <w:szCs w:val="21"/>
                <w:lang w:eastAsia="zh-CN"/>
              </w:rPr>
              <w:t>）</w:t>
            </w:r>
          </w:p>
          <w:p>
            <w:pPr>
              <w:rPr>
                <w:rFonts w:ascii="宋体"/>
                <w:b/>
                <w:color w:val="0000FF"/>
                <w:szCs w:val="21"/>
              </w:rPr>
            </w:pPr>
            <w:r>
              <w:rPr>
                <w:rFonts w:hint="eastAsia" w:ascii="宋体" w:hAnsi="Times New Roman" w:eastAsia="宋体" w:cs="Times New Roman"/>
                <w:b/>
                <w:color w:val="0000FF"/>
                <w:szCs w:val="21"/>
                <w:lang w:val="en-US" w:eastAsia="zh-CN"/>
              </w:rPr>
              <w:t>远程：湖北省（宋翠琳）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tc>
        <w:tc>
          <w:tcPr>
            <w:tcW w:w="4616" w:type="dxa"/>
            <w:gridSpan w:val="2"/>
            <w:vMerge w:val="restart"/>
            <w:vAlign w:val="center"/>
          </w:tcPr>
          <w:p>
            <w:bookmarkStart w:id="25" w:name="审核范围"/>
            <w:r>
              <w:t>混凝土、干混砂浆的生产所涉及的能源管理活动</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632" w:type="dxa"/>
            <w:vMerge w:val="continue"/>
            <w:vAlign w:val="center"/>
          </w:tcPr>
          <w:p/>
        </w:tc>
        <w:tc>
          <w:tcPr>
            <w:tcW w:w="4616" w:type="dxa"/>
            <w:gridSpan w:val="2"/>
            <w:vMerge w:val="continue"/>
            <w:vAlign w:val="center"/>
          </w:tcPr>
          <w:p/>
        </w:tc>
        <w:tc>
          <w:tcPr>
            <w:tcW w:w="3215" w:type="dxa"/>
            <w:vAlign w:val="center"/>
          </w:tcPr>
          <w:p>
            <w:bookmarkStart w:id="26" w:name="专业代码"/>
            <w:r>
              <w:t>2.4</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vAlign w:val="center"/>
          </w:tcPr>
          <w:p>
            <w:pPr>
              <w:jc w:val="center"/>
            </w:pP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2</w:t>
            </w:r>
            <w:r>
              <w:rPr>
                <w:rFonts w:hint="eastAsia"/>
                <w:color w:val="000000"/>
                <w:szCs w:val="18"/>
              </w:rPr>
              <w:t>日</w:t>
            </w:r>
          </w:p>
        </w:tc>
        <w:tc>
          <w:tcPr>
            <w:tcW w:w="1883" w:type="dxa"/>
            <w:vAlign w:val="center"/>
          </w:tcPr>
          <w:p>
            <w:r>
              <w:rPr>
                <w:rFonts w:hint="eastAsia"/>
                <w:b/>
                <w:bCs/>
              </w:rPr>
              <w:t>能源管理体系运行已超过6个月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20"/>
        <w:gridCol w:w="1658"/>
        <w:gridCol w:w="1695"/>
        <w:gridCol w:w="1635"/>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sz w:val="21"/>
                <w:szCs w:val="21"/>
                <w:lang w:eastAsia="zh-CN"/>
              </w:rPr>
            </w:pPr>
            <w:r>
              <w:rPr>
                <w:rFonts w:eastAsia="黑体" w:cs="Arial"/>
                <w:sz w:val="21"/>
                <w:szCs w:val="21"/>
                <w:lang w:eastAsia="zh-CN"/>
              </w:rPr>
              <w:t>场所编号</w:t>
            </w:r>
          </w:p>
          <w:p>
            <w:pPr>
              <w:pStyle w:val="19"/>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2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1658"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1695" w:type="dxa"/>
            <w:shd w:val="clear" w:color="auto" w:fill="F3F3F3"/>
            <w:tcMar>
              <w:left w:w="57" w:type="dxa"/>
              <w:right w:w="57" w:type="dxa"/>
            </w:tcMar>
          </w:tcPr>
          <w:p>
            <w:pPr>
              <w:pStyle w:val="19"/>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19"/>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635"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470"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color w:val="000000"/>
                <w:szCs w:val="21"/>
                <w:lang w:val="en-US" w:eastAsia="zh-CN"/>
              </w:rPr>
            </w:pPr>
            <w:r>
              <w:rPr>
                <w:rFonts w:hint="eastAsia"/>
                <w:color w:val="000000"/>
                <w:szCs w:val="21"/>
              </w:rPr>
              <w:t>内蒙古杭萧盛基绿色建筑科技有限公司</w:t>
            </w:r>
            <w:r>
              <w:rPr>
                <w:rFonts w:hint="eastAsia"/>
                <w:color w:val="000000"/>
                <w:szCs w:val="21"/>
                <w:lang w:val="en-US" w:eastAsia="zh-CN"/>
              </w:rPr>
              <w:t>/</w:t>
            </w:r>
            <w:r>
              <w:rPr>
                <w:rFonts w:hint="eastAsia"/>
                <w:color w:val="000000"/>
                <w:szCs w:val="21"/>
              </w:rPr>
              <w:t>内蒙古自治区呼和浩特市和林格尔县姑子板村委会</w:t>
            </w:r>
          </w:p>
        </w:tc>
        <w:tc>
          <w:tcPr>
            <w:tcW w:w="1520" w:type="dxa"/>
          </w:tcPr>
          <w:p>
            <w:pPr>
              <w:spacing w:before="40" w:after="40"/>
              <w:rPr>
                <w:rFonts w:hint="eastAsia"/>
                <w:color w:val="000000"/>
                <w:szCs w:val="21"/>
                <w:lang w:val="de-DE" w:eastAsia="ja-JP"/>
              </w:rPr>
            </w:pPr>
            <w:r>
              <w:rPr>
                <w:rFonts w:hint="eastAsia"/>
                <w:color w:val="000000"/>
                <w:szCs w:val="21"/>
              </w:rPr>
              <w:t>内蒙古自治区呼和浩特市和林格尔县姑子板村委会</w:t>
            </w:r>
          </w:p>
        </w:tc>
        <w:tc>
          <w:tcPr>
            <w:tcW w:w="1658" w:type="dxa"/>
            <w:vAlign w:val="center"/>
          </w:tcPr>
          <w:p>
            <w:pPr>
              <w:spacing w:before="40" w:after="40"/>
              <w:rPr>
                <w:rFonts w:eastAsia="黑体"/>
                <w:szCs w:val="21"/>
                <w:lang w:eastAsia="ja-JP"/>
              </w:rPr>
            </w:pPr>
            <w:r>
              <w:rPr>
                <w:rFonts w:hint="eastAsia"/>
                <w:color w:val="000000"/>
                <w:szCs w:val="21"/>
              </w:rPr>
              <w:t>认证范围内管理体系覆盖的人数</w:t>
            </w:r>
            <w:r>
              <w:rPr>
                <w:rFonts w:hint="eastAsia"/>
                <w:color w:val="000000"/>
                <w:szCs w:val="21"/>
                <w:lang w:val="en-US" w:eastAsia="zh-CN"/>
              </w:rPr>
              <w:t>35</w:t>
            </w:r>
            <w:r>
              <w:rPr>
                <w:rFonts w:hint="eastAsia"/>
                <w:color w:val="000000"/>
                <w:szCs w:val="21"/>
              </w:rPr>
              <w:t>（总计</w:t>
            </w:r>
            <w:r>
              <w:rPr>
                <w:rFonts w:hint="eastAsia"/>
                <w:color w:val="000000"/>
                <w:szCs w:val="21"/>
                <w:lang w:val="en-US" w:eastAsia="zh-CN"/>
              </w:rPr>
              <w:t>45</w:t>
            </w:r>
            <w:r>
              <w:rPr>
                <w:rFonts w:hint="eastAsia"/>
                <w:color w:val="000000"/>
                <w:szCs w:val="21"/>
              </w:rPr>
              <w:t>人）</w:t>
            </w:r>
          </w:p>
        </w:tc>
        <w:tc>
          <w:tcPr>
            <w:tcW w:w="1695" w:type="dxa"/>
            <w:vAlign w:val="center"/>
          </w:tcPr>
          <w:p>
            <w:pPr>
              <w:pStyle w:val="20"/>
              <w:rPr>
                <w:rFonts w:eastAsia="黑体" w:cs="Arial"/>
                <w:sz w:val="21"/>
                <w:szCs w:val="21"/>
                <w:lang w:val="en-US" w:eastAsia="ja-JP"/>
              </w:rPr>
            </w:pPr>
            <w:r>
              <w:t>混凝土、干混砂浆的生产所涉及的能源管理活动</w:t>
            </w:r>
          </w:p>
        </w:tc>
        <w:tc>
          <w:tcPr>
            <w:tcW w:w="1635" w:type="dxa"/>
            <w:vAlign w:val="center"/>
          </w:tcPr>
          <w:p>
            <w:pPr>
              <w:spacing w:before="40" w:after="40"/>
              <w:rPr>
                <w:rFonts w:hint="eastAsia"/>
                <w:color w:val="000000"/>
                <w:szCs w:val="21"/>
                <w:lang w:val="en-US" w:eastAsia="zh-CN"/>
              </w:rPr>
            </w:pPr>
            <w:r>
              <w:rPr>
                <w:rFonts w:hint="eastAsia"/>
                <w:color w:val="000000"/>
                <w:szCs w:val="21"/>
                <w:lang w:val="de-DE"/>
              </w:rPr>
              <w:t>GB/T 23331-202</w:t>
            </w:r>
            <w:r>
              <w:rPr>
                <w:rFonts w:hint="eastAsia"/>
                <w:color w:val="000000"/>
                <w:szCs w:val="21"/>
                <w:lang w:val="en-US" w:eastAsia="zh-CN"/>
              </w:rPr>
              <w:t xml:space="preserve">0 </w:t>
            </w:r>
          </w:p>
          <w:p>
            <w:pPr>
              <w:spacing w:before="40" w:after="40"/>
              <w:rPr>
                <w:rFonts w:eastAsia="黑体"/>
                <w:szCs w:val="21"/>
                <w:lang w:eastAsia="ja-JP"/>
              </w:rPr>
            </w:pPr>
            <w:r>
              <w:rPr>
                <w:rFonts w:hint="eastAsia"/>
                <w:color w:val="000000"/>
                <w:szCs w:val="21"/>
              </w:rPr>
              <w:t xml:space="preserve">RB/T </w:t>
            </w:r>
            <w:r>
              <w:rPr>
                <w:rFonts w:hint="eastAsia"/>
                <w:color w:val="000000"/>
                <w:szCs w:val="21"/>
                <w:lang w:val="en-US" w:eastAsia="zh-CN"/>
              </w:rPr>
              <w:t>121-2016</w:t>
            </w:r>
          </w:p>
        </w:tc>
        <w:sdt>
          <w:sdtPr>
            <w:rPr>
              <w:rFonts w:eastAsia="黑体"/>
              <w:szCs w:val="21"/>
            </w:rPr>
            <w:id w:val="271604670"/>
          </w:sdtPr>
          <w:sdtEndPr>
            <w:rPr>
              <w:rFonts w:eastAsia="黑体"/>
              <w:szCs w:val="21"/>
            </w:rPr>
          </w:sdtEndPr>
          <w:sdtContent>
            <w:tc>
              <w:tcPr>
                <w:tcW w:w="470" w:type="dxa"/>
                <w:shd w:val="clear" w:color="auto" w:fill="FFFFFF"/>
              </w:tcPr>
              <w:p>
                <w:pPr>
                  <w:rPr>
                    <w:rFonts w:eastAsia="黑体"/>
                    <w:szCs w:val="21"/>
                  </w:rPr>
                </w:pPr>
                <w:r>
                  <w:rPr>
                    <w:rFonts w:hint="eastAsia" w:ascii="宋体" w:hAnsi="宋体" w:eastAsia="宋体" w:cs="宋体"/>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w:t>
            </w:r>
            <w:r>
              <w:rPr>
                <w:rFonts w:hint="eastAsia"/>
                <w:lang w:val="en-US" w:eastAsia="zh-CN"/>
              </w:rPr>
              <w:t xml:space="preserve">  </w:t>
            </w:r>
            <w:r>
              <w:t>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宋翠琳</w:t>
            </w:r>
          </w:p>
        </w:tc>
        <w:tc>
          <w:tcPr>
            <w:tcW w:w="1089" w:type="dxa"/>
            <w:vAlign w:val="center"/>
          </w:tcPr>
          <w:p>
            <w:r>
              <w:t>组员</w:t>
            </w:r>
          </w:p>
        </w:tc>
        <w:tc>
          <w:tcPr>
            <w:tcW w:w="711" w:type="dxa"/>
            <w:vAlign w:val="center"/>
          </w:tcPr>
          <w:p>
            <w:r>
              <w:t>女</w:t>
            </w:r>
          </w:p>
        </w:tc>
        <w:tc>
          <w:tcPr>
            <w:tcW w:w="3870" w:type="dxa"/>
            <w:vAlign w:val="center"/>
          </w:tcPr>
          <w:p>
            <w:r>
              <w:t>2022-N1EnMS-1082241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杜凤磊</w:t>
            </w:r>
          </w:p>
        </w:tc>
        <w:tc>
          <w:tcPr>
            <w:tcW w:w="1089" w:type="dxa"/>
            <w:vAlign w:val="center"/>
          </w:tcPr>
          <w:p>
            <w:r>
              <w:t>组员</w:t>
            </w:r>
          </w:p>
        </w:tc>
        <w:tc>
          <w:tcPr>
            <w:tcW w:w="711" w:type="dxa"/>
            <w:vAlign w:val="center"/>
          </w:tcPr>
          <w:p>
            <w:r>
              <w:t>男</w:t>
            </w:r>
          </w:p>
        </w:tc>
        <w:tc>
          <w:tcPr>
            <w:tcW w:w="3870" w:type="dxa"/>
            <w:vAlign w:val="center"/>
          </w:tcPr>
          <w:p>
            <w:r>
              <w:t>ISC-JSZJ-556</w:t>
            </w:r>
          </w:p>
          <w:p>
            <w:r>
              <w:t>内蒙古锦銮建筑材料生产有限公司</w:t>
            </w:r>
          </w:p>
        </w:tc>
        <w:tc>
          <w:tcPr>
            <w:tcW w:w="2179" w:type="dxa"/>
            <w:vAlign w:val="center"/>
          </w:tcPr>
          <w:p>
            <w:r>
              <w:t>2.4</w:t>
            </w: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EnMS□FSMS□HACCP的附件）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30" w:type="dxa"/>
            <w:vMerge w:val="continue"/>
            <w:shd w:val="clear" w:color="auto" w:fill="auto"/>
          </w:tcPr>
          <w:p/>
        </w:tc>
        <w:tc>
          <w:tcPr>
            <w:tcW w:w="970" w:type="dxa"/>
            <w:shd w:val="clear" w:color="auto" w:fill="auto"/>
          </w:tcPr>
          <w:p>
            <w:r>
              <w:rPr>
                <w:rFonts w:hint="eastAsia"/>
              </w:rPr>
              <w:t>EnMS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688340</wp:posOffset>
                  </wp:positionH>
                  <wp:positionV relativeFrom="paragraph">
                    <wp:posOffset>5597525</wp:posOffset>
                  </wp:positionV>
                  <wp:extent cx="647700" cy="304800"/>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647700" cy="304800"/>
                          </a:xfrm>
                          <a:prstGeom prst="rect">
                            <a:avLst/>
                          </a:prstGeom>
                          <a:noFill/>
                          <a:ln>
                            <a:noFill/>
                          </a:ln>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2022.8.16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eastAsia="微软雅黑"/>
          <w:sz w:val="20"/>
          <w:szCs w:val="20"/>
        </w:rPr>
      </w:pPr>
      <w:r>
        <w:rPr>
          <w:rFonts w:hint="eastAsia"/>
        </w:rPr>
        <w:t xml:space="preserve">5. 对子证书/证书附件要求的组织，除在末次会议上确定注册范围外，还须附上子证书/证书附件的文字表达。(可另附页)  </w:t>
      </w: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rPr>
                      <w:rFonts w:hint="eastAsia"/>
                    </w:rPr>
                    <w:t xml:space="preserve">活动、产品和服务 </w:t>
                  </w:r>
                  <w:r>
                    <w:rPr>
                      <w:rFonts w:hint="eastAsia"/>
                      <w:lang w:eastAsia="zh-CN"/>
                    </w:rPr>
                    <w:t>☑</w:t>
                  </w:r>
                  <w:r>
                    <w:rPr>
                      <w:rFonts w:hint="eastAsia"/>
                    </w:rPr>
                    <w:t>战略方向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 xml:space="preserve">遵守相关的法律法规、节能减排；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生产</w:t>
            </w:r>
            <w:r>
              <w:rPr>
                <w:rFonts w:hint="eastAsia"/>
                <w:lang w:eastAsia="zh-CN"/>
              </w:rPr>
              <w:t>☑</w:t>
            </w:r>
            <w:r>
              <w:rPr>
                <w:rFonts w:hint="eastAsia"/>
              </w:rPr>
              <w:t xml:space="preserve">检验 </w:t>
            </w:r>
            <w:r>
              <w:rPr>
                <w:rFonts w:hint="eastAsia"/>
                <w:lang w:eastAsia="zh-CN"/>
              </w:rPr>
              <w:t>☑</w:t>
            </w:r>
            <w:r>
              <w:rPr>
                <w:rFonts w:hint="eastAsia"/>
              </w:rPr>
              <w:t xml:space="preserve">设备管理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□节约资源 </w:t>
            </w:r>
            <w:r>
              <w:rPr>
                <w:rFonts w:hint="eastAsia"/>
                <w:lang w:eastAsia="zh-CN"/>
              </w:rPr>
              <w:t>☑</w:t>
            </w:r>
            <w:r>
              <w:rPr>
                <w:rFonts w:hint="eastAsia"/>
              </w:rPr>
              <w:t xml:space="preserve">满足限额要求 </w:t>
            </w:r>
            <w:r>
              <w:rPr>
                <w:rFonts w:hint="eastAsia"/>
                <w:lang w:eastAsia="zh-CN"/>
              </w:rPr>
              <w:t>☑</w:t>
            </w:r>
            <w:r>
              <w:rPr>
                <w:rFonts w:hint="eastAsia"/>
              </w:rPr>
              <w:t xml:space="preserve">主要用能设备管理  </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rPr>
                <w:rFonts w:hint="eastAsia" w:eastAsia="宋体"/>
                <w:lang w:eastAsia="zh-CN"/>
              </w:rPr>
            </w:pPr>
            <w:r>
              <w:rPr>
                <w:rFonts w:hint="eastAsia"/>
              </w:rPr>
              <w:t xml:space="preserve">□生产/服务过程 □能效监测 □设备维修 □人员培训 </w:t>
            </w:r>
            <w:r>
              <w:rPr>
                <w:rFonts w:hint="eastAsia"/>
                <w:lang w:eastAsia="zh-CN"/>
              </w:rPr>
              <w:t>☑</w:t>
            </w:r>
            <w:r>
              <w:rPr>
                <w:rFonts w:hint="eastAsia"/>
              </w:rPr>
              <w:t>其他</w:t>
            </w:r>
            <w:r>
              <w:rPr>
                <w:rFonts w:hint="eastAsia"/>
                <w:lang w:eastAsia="zh-CN"/>
              </w:rPr>
              <w:t>（</w:t>
            </w:r>
            <w:r>
              <w:rPr>
                <w:rFonts w:hint="eastAsia"/>
                <w:lang w:val="en-US" w:eastAsia="zh-CN"/>
              </w:rPr>
              <w:t>产品运输外包</w:t>
            </w:r>
            <w:r>
              <w:rPr>
                <w:rFonts w:hint="eastAsia"/>
                <w:lang w:eastAsia="zh-CN"/>
              </w:rPr>
              <w:t>）</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500" w:lineRule="exact"/>
              <w:jc w:val="left"/>
              <w:rPr>
                <w:rFonts w:hint="eastAsia" w:ascii="Times New Roman" w:hAnsi="Times New Roman" w:eastAsia="宋体" w:cs="Times New Roman"/>
                <w:lang w:val="en-GB"/>
              </w:rPr>
            </w:pPr>
            <w:r>
              <w:rPr>
                <w:rFonts w:hint="eastAsia"/>
              </w:rPr>
              <w:t>最高管理者制定了</w:t>
            </w:r>
            <w:r>
              <w:rPr>
                <w:rFonts w:hint="eastAsia" w:ascii="Times New Roman" w:hAnsi="Times New Roman" w:eastAsia="宋体" w:cs="Times New Roman"/>
                <w:lang w:val="en-GB"/>
              </w:rPr>
              <w:t>文件化的管理体系方针：</w:t>
            </w:r>
            <w:r>
              <w:rPr>
                <w:rFonts w:hint="eastAsia" w:ascii="Times New Roman" w:hAnsi="Times New Roman" w:eastAsia="宋体" w:cs="Times New Roman"/>
                <w:u w:val="single"/>
                <w:lang w:val="en-GB"/>
              </w:rPr>
              <w:t>增强全员节能意识；遵守法律法规；持续改进能耗</w:t>
            </w:r>
            <w:r>
              <w:rPr>
                <w:rFonts w:hint="eastAsia" w:ascii="Times New Roman" w:hAnsi="Times New Roman" w:eastAsia="宋体" w:cs="Times New Roman"/>
                <w:u w:val="single"/>
                <w:lang w:val="en-GB" w:eastAsia="zh-CN"/>
              </w:rPr>
              <w:t>；</w:t>
            </w:r>
            <w:r>
              <w:rPr>
                <w:rFonts w:hint="eastAsia" w:ascii="Times New Roman" w:hAnsi="Times New Roman" w:eastAsia="宋体" w:cs="Times New Roman"/>
                <w:lang w:val="en-GB"/>
              </w:rPr>
              <w:t xml:space="preserve">             </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EnMS的主管部门是——</w:t>
            </w:r>
            <w:r>
              <w:rPr>
                <w:rFonts w:hint="eastAsia"/>
                <w:lang w:eastAsia="zh-CN"/>
              </w:rPr>
              <w:t>☑</w:t>
            </w:r>
            <w:r>
              <w:rPr>
                <w:rFonts w:hint="eastAsia"/>
                <w:lang w:val="en-US" w:eastAsia="zh-CN"/>
              </w:rPr>
              <w:t xml:space="preserve">综合部   </w:t>
            </w:r>
            <w:r>
              <w:rPr>
                <w:rFonts w:hint="eastAsia"/>
                <w:lang w:eastAsia="zh-CN"/>
              </w:rPr>
              <w:t>☑</w:t>
            </w:r>
            <w:r>
              <w:rPr>
                <w:rFonts w:hint="eastAsia"/>
              </w:rPr>
              <w:t>能源管理团队</w:t>
            </w:r>
            <w:r>
              <w:rPr>
                <w:rFonts w:hint="eastAsia"/>
                <w:lang w:eastAsia="zh-CN"/>
              </w:rPr>
              <w:t>——</w:t>
            </w:r>
            <w:r>
              <w:rPr>
                <w:rFonts w:hint="eastAsia"/>
                <w:lang w:val="en-US" w:eastAsia="zh-CN"/>
              </w:rPr>
              <w:t xml:space="preserve">生产部  </w:t>
            </w:r>
            <w:r>
              <w:rPr>
                <w:rFonts w:hint="eastAsia"/>
              </w:rPr>
              <w:t xml:space="preserve"> </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云英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停电停水的风险</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制定应急预案</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员工能力不足</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加强培训</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柴油供应短缺</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制定应急预案</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合规义务</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加强培训</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 xml:space="preserve">□蒸汽 □天然气 </w:t>
            </w:r>
            <w:r>
              <w:rPr>
                <w:rFonts w:hint="eastAsia"/>
                <w:lang w:eastAsia="zh-CN"/>
              </w:rPr>
              <w:t>☑</w:t>
            </w:r>
            <w:r>
              <w:rPr>
                <w:rFonts w:hint="eastAsia"/>
                <w:lang w:val="en-US" w:eastAsia="zh-CN"/>
              </w:rPr>
              <w:t>柴油</w:t>
            </w:r>
            <w:r>
              <w:rPr>
                <w:rFonts w:hint="eastAsia"/>
              </w:rPr>
              <w:t xml:space="preserve">  □燃料气 </w:t>
            </w:r>
            <w:r>
              <w:rPr>
                <w:rFonts w:hint="eastAsia"/>
                <w:lang w:eastAsia="zh-CN"/>
              </w:rPr>
              <w:t>☑</w:t>
            </w:r>
            <w:r>
              <w:rPr>
                <w:rFonts w:hint="eastAsia"/>
              </w:rPr>
              <w:t xml:space="preserve">电力  □氮气 □风  </w:t>
            </w:r>
            <w:r>
              <w:rPr>
                <w:rFonts w:hint="eastAsia"/>
                <w:lang w:eastAsia="zh-CN"/>
              </w:rPr>
              <w:t>☑</w:t>
            </w:r>
            <w:r>
              <w:rPr>
                <w:rFonts w:hint="eastAsia"/>
              </w:rPr>
              <w:t>新鲜水 □各种品质水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sym w:font="Wingdings 2" w:char="0052"/>
            </w:r>
            <w:r>
              <w:rPr>
                <w:rFonts w:hint="eastAsia"/>
                <w:lang w:val="en-US" w:eastAsia="zh-CN"/>
              </w:rPr>
              <w:t>生产</w:t>
            </w:r>
            <w:r>
              <w:rPr>
                <w:rFonts w:hint="eastAsia"/>
              </w:rPr>
              <w:t xml:space="preserve">能耗 </w:t>
            </w:r>
            <w:r>
              <w:rPr>
                <w:rFonts w:hint="eastAsia"/>
              </w:rPr>
              <w:sym w:font="Wingdings 2" w:char="0052"/>
            </w:r>
            <w:r>
              <w:rPr>
                <w:rFonts w:hint="eastAsia"/>
              </w:rPr>
              <w:t xml:space="preserve">能源消费总量 </w:t>
            </w:r>
            <w:r>
              <w:rPr>
                <w:rFonts w:hint="eastAsia"/>
              </w:rPr>
              <w:sym w:font="Wingdings 2" w:char="0052"/>
            </w:r>
            <w:r>
              <w:rPr>
                <w:rFonts w:hint="eastAsia"/>
                <w:lang w:val="en-US" w:eastAsia="zh-CN"/>
              </w:rPr>
              <w:t>运输能耗</w:t>
            </w:r>
            <w:r>
              <w:rPr>
                <w:rFonts w:hint="eastAsia"/>
              </w:rPr>
              <w:t xml:space="preserve">  □单位产品燃料气消耗 □加热炉热效率 □其他  </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 xml:space="preserve">使用能源评审的信息，并考虑适合的时间段，建立能源基准。 </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 xml:space="preserve">根据企业活动的性质，归一化可以是简单的调整，或者是更加复杂的过程。 </w:t>
            </w:r>
          </w:p>
          <w:p>
            <w:pPr>
              <w:jc w:val="left"/>
              <w:rPr>
                <w:rFonts w:asciiTheme="majorEastAsia" w:hAnsiTheme="majorEastAsia" w:eastAsiaTheme="majorEastAsia"/>
              </w:rPr>
            </w:pPr>
            <w:r>
              <w:rPr>
                <w:rFonts w:hint="eastAsia" w:asciiTheme="majorEastAsia" w:hAnsiTheme="majorEastAsia" w:eastAsiaTheme="majorEastAsia"/>
              </w:rPr>
              <w:t xml:space="preserve">当出现以下一种或多种情况时，应对能源基准进行调整： </w:t>
            </w:r>
          </w:p>
          <w:p>
            <w:pPr>
              <w:jc w:val="left"/>
              <w:rPr>
                <w:rFonts w:asciiTheme="majorEastAsia" w:hAnsiTheme="majorEastAsia" w:eastAsiaTheme="majorEastAsia"/>
              </w:rPr>
            </w:pPr>
            <w:r>
              <w:rPr>
                <w:rFonts w:hint="eastAsia" w:asciiTheme="majorEastAsia" w:hAnsiTheme="majorEastAsia" w:eastAsiaTheme="majorEastAsia"/>
              </w:rPr>
              <w:t xml:space="preserve">a）能源绩效参数不再能够反映组织的能源绩效时； </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 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 xml:space="preserve">b）与主要能源使用和组织相关的能源消耗； </w:t>
            </w:r>
          </w:p>
          <w:p>
            <w:pPr>
              <w:jc w:val="left"/>
              <w:rPr>
                <w:rFonts w:asciiTheme="majorEastAsia" w:hAnsiTheme="majorEastAsia" w:eastAsiaTheme="majorEastAsia"/>
              </w:rPr>
            </w:pPr>
            <w:r>
              <w:rPr>
                <w:rFonts w:hint="eastAsia" w:asciiTheme="majorEastAsia" w:hAnsiTheme="majorEastAsia" w:eastAsiaTheme="majorEastAsia"/>
              </w:rPr>
              <w:t xml:space="preserve">c）与主要能源使用相关的运行准则； </w:t>
            </w:r>
          </w:p>
          <w:p>
            <w:pPr>
              <w:jc w:val="left"/>
              <w:rPr>
                <w:rFonts w:asciiTheme="majorEastAsia" w:hAnsiTheme="majorEastAsia" w:eastAsiaTheme="majorEastAsia"/>
              </w:rPr>
            </w:pPr>
            <w:r>
              <w:rPr>
                <w:rFonts w:hint="eastAsia" w:asciiTheme="majorEastAsia" w:hAnsiTheme="majorEastAsia" w:eastAsiaTheme="majorEastAsia"/>
              </w:rPr>
              <w:t xml:space="preserve">d）适用时，静态因素； </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 xml:space="preserve">能源数据收集计划应按规定的时间间隔进行评审，并在适用时更新。 </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 将这些合规义务应用于组织； 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 xml:space="preserve">□节能评估报告编号/日期：                   </w:t>
            </w:r>
          </w:p>
          <w:p>
            <w:pPr>
              <w:shd w:val="clear" w:color="auto" w:fill="EBF1DE" w:themeFill="accent3" w:themeFillTint="32"/>
              <w:rPr>
                <w:rFonts w:hint="default" w:eastAsia="宋体"/>
                <w:lang w:val="en-US" w:eastAsia="zh-CN"/>
              </w:rPr>
            </w:pPr>
            <w:r>
              <w:rPr>
                <w:rFonts w:hint="eastAsia"/>
                <w:lang w:eastAsia="zh-CN"/>
              </w:rPr>
              <w:t>☑</w:t>
            </w:r>
            <w:r>
              <w:rPr>
                <w:rFonts w:hint="eastAsia"/>
              </w:rPr>
              <w:t xml:space="preserve">能源评审报告编号/日期： </w:t>
            </w:r>
            <w:r>
              <w:rPr>
                <w:rFonts w:hint="eastAsia"/>
                <w:lang w:val="en-US" w:eastAsia="zh-CN"/>
              </w:rPr>
              <w:t>2022.8</w:t>
            </w:r>
          </w:p>
          <w:p>
            <w:pPr>
              <w:shd w:val="clear" w:color="auto" w:fill="EBF1DE" w:themeFill="accent3" w:themeFillTint="32"/>
            </w:pPr>
            <w:r>
              <w:rPr>
                <w:rFonts w:hint="eastAsia"/>
              </w:rPr>
              <w:t xml:space="preserve">□节能项目验收报告编号/日期：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组织策划并采取措施管理其能源评审、合规义务和识别的风险和机遇； </w:t>
            </w:r>
          </w:p>
          <w:p>
            <w:pPr>
              <w:shd w:val="clear" w:color="auto" w:fill="EBF1DE" w:themeFill="accent3" w:themeFillTint="32"/>
            </w:pPr>
            <w:r>
              <w:rPr>
                <w:rFonts w:hint="eastAsia"/>
                <w:lang w:eastAsia="zh-CN"/>
              </w:rPr>
              <w:t>☑</w:t>
            </w:r>
            <w:r>
              <w:rPr>
                <w:rFonts w:hint="eastAsia"/>
              </w:rPr>
              <w:t xml:space="preserve">限额标准  </w:t>
            </w:r>
            <w:r>
              <w:rPr>
                <w:rFonts w:hint="eastAsia"/>
                <w:lang w:eastAsia="zh-CN"/>
              </w:rPr>
              <w:t>☑</w:t>
            </w:r>
            <w:r>
              <w:rPr>
                <w:rFonts w:hint="eastAsia"/>
              </w:rPr>
              <w:t xml:space="preserve">能源计量管理  </w:t>
            </w:r>
            <w:r>
              <w:rPr>
                <w:rFonts w:hint="eastAsia"/>
                <w:lang w:eastAsia="zh-CN"/>
              </w:rPr>
              <w:t>☑</w:t>
            </w:r>
            <w:r>
              <w:rPr>
                <w:rFonts w:hint="eastAsia"/>
              </w:rPr>
              <w:t xml:space="preserve">使用节能设备  </w:t>
            </w:r>
            <w:r>
              <w:rPr>
                <w:rFonts w:hint="eastAsia"/>
                <w:lang w:eastAsia="zh-CN"/>
              </w:rPr>
              <w:t>☑</w:t>
            </w:r>
            <w:r>
              <w:rPr>
                <w:rFonts w:hint="eastAsia"/>
              </w:rPr>
              <w:t xml:space="preserve">主要耗能设备识别及能效测试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宋体" w:hAnsi="宋体"/>
                      <w:color w:val="000000"/>
                      <w:sz w:val="21"/>
                      <w:szCs w:val="21"/>
                      <w:lang w:val="en-US" w:eastAsia="zh-CN"/>
                    </w:rPr>
                    <w:t>预拌混凝土单位产品能耗≤0.87 kgce/m3</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提高产量</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color w:val="000000"/>
                      <w:sz w:val="21"/>
                      <w:szCs w:val="21"/>
                      <w:vertAlign w:val="superscript"/>
                      <w:lang w:val="en-US" w:eastAsia="zh-CN"/>
                    </w:rPr>
                  </w:pPr>
                  <w:r>
                    <w:rPr>
                      <w:rFonts w:hint="eastAsia" w:ascii="宋体" w:hAnsi="宋体"/>
                      <w:color w:val="000000"/>
                      <w:sz w:val="21"/>
                      <w:szCs w:val="21"/>
                      <w:lang w:val="en-US" w:eastAsia="zh-CN"/>
                    </w:rPr>
                    <w:t>0.83kgce/m</w:t>
                  </w:r>
                  <w:r>
                    <w:rPr>
                      <w:rFonts w:hint="eastAsia" w:ascii="宋体" w:hAnsi="宋体"/>
                      <w:color w:val="000000"/>
                      <w:sz w:val="21"/>
                      <w:szCs w:val="21"/>
                      <w:vertAlign w:val="superscript"/>
                      <w:lang w:val="en-US" w:eastAsia="zh-CN"/>
                    </w:rPr>
                    <w:t>3</w:t>
                  </w:r>
                </w:p>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r>
                    <w:rPr>
                      <w:rFonts w:hint="eastAsia" w:ascii="宋体" w:hAnsi="宋体"/>
                      <w:color w:val="000000"/>
                      <w:sz w:val="21"/>
                      <w:szCs w:val="21"/>
                      <w:lang w:val="en-US" w:eastAsia="zh-CN"/>
                    </w:rPr>
                    <w:t>预拌砂浆单位产品能耗≤0.51 kgce/m3(仅厂内）</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减少重复跑路，提高铲车的利用效率</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lang w:val="en-US" w:eastAsia="zh-CN"/>
                    </w:rPr>
                    <w:t>生产</w:t>
                  </w:r>
                  <w:bookmarkStart w:id="30" w:name="_GoBack"/>
                  <w:bookmarkEnd w:id="30"/>
                  <w:r>
                    <w:rPr>
                      <w:rFonts w:hint="eastAsia"/>
                      <w:lang w:val="en-US" w:eastAsia="zh-CN"/>
                    </w:rPr>
                    <w:t>部</w:t>
                  </w:r>
                </w:p>
              </w:tc>
              <w:tc>
                <w:tcPr>
                  <w:tcW w:w="1774" w:type="dxa"/>
                  <w:shd w:val="clear" w:color="auto" w:fill="auto"/>
                  <w:vAlign w:val="center"/>
                </w:tcPr>
                <w:p>
                  <w:pPr>
                    <w:shd w:val="clear" w:color="auto" w:fill="EBF1DE" w:themeFill="accent3" w:themeFillTint="32"/>
                    <w:jc w:val="center"/>
                    <w:rPr>
                      <w:rFonts w:hint="eastAsia"/>
                      <w:lang w:val="en-US" w:eastAsia="zh-CN"/>
                    </w:rPr>
                  </w:pPr>
                  <w:r>
                    <w:rPr>
                      <w:rFonts w:hint="eastAsia"/>
                      <w:lang w:val="en-US" w:eastAsia="zh-CN"/>
                    </w:rPr>
                    <w:t>0.396 kgce/t</w:t>
                  </w:r>
                </w:p>
                <w:p>
                  <w:pPr>
                    <w:pStyle w:val="2"/>
                    <w:ind w:firstLine="460" w:firstLineChars="200"/>
                    <w:rPr>
                      <w:rFonts w:hint="default"/>
                      <w:lang w:val="en-US"/>
                    </w:rPr>
                  </w:pPr>
                  <w:r>
                    <w:rPr>
                      <w:rFonts w:hint="eastAsia" w:ascii="宋体" w:hAnsi="宋体"/>
                      <w:color w:val="000000"/>
                      <w:sz w:val="21"/>
                      <w:szCs w:val="21"/>
                      <w:lang w:val="en-US" w:eastAsia="zh-CN"/>
                    </w:rPr>
                    <w:t>完成</w:t>
                  </w:r>
                </w:p>
              </w:tc>
            </w:tr>
          </w:tbl>
          <w:p>
            <w:pPr>
              <w:shd w:val="clear" w:color="auto" w:fill="EBF1DE" w:themeFill="accent3" w:themeFillTint="32"/>
            </w:pPr>
            <w:r>
              <w:rPr>
                <w:rFonts w:hint="eastAsia"/>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lang w:eastAsia="zh-CN"/>
              </w:rPr>
              <w:t>☑</w:t>
            </w:r>
            <w:r>
              <w:rPr>
                <w:rFonts w:hint="eastAsia"/>
              </w:rPr>
              <w:t xml:space="preserve">人力资源 </w:t>
            </w:r>
            <w:r>
              <w:rPr>
                <w:rFonts w:hint="eastAsia"/>
                <w:lang w:eastAsia="zh-CN"/>
              </w:rPr>
              <w:t>☑</w:t>
            </w:r>
            <w:r>
              <w:rPr>
                <w:rFonts w:hint="eastAsia"/>
              </w:rPr>
              <w:t xml:space="preserve">自然资源 </w:t>
            </w:r>
            <w:r>
              <w:rPr>
                <w:rFonts w:hint="eastAsia"/>
                <w:lang w:eastAsia="zh-CN"/>
              </w:rPr>
              <w:t>☑</w:t>
            </w:r>
            <w:r>
              <w:rPr>
                <w:rFonts w:hint="eastAsia"/>
              </w:rPr>
              <w:t xml:space="preserve">基础设施  </w:t>
            </w:r>
            <w:r>
              <w:rPr>
                <w:rFonts w:hint="eastAsia"/>
                <w:lang w:eastAsia="zh-CN"/>
              </w:rPr>
              <w:t>☑</w:t>
            </w:r>
            <w:r>
              <w:rPr>
                <w:rFonts w:hint="eastAsia"/>
              </w:rPr>
              <w:t xml:space="preserve">技术  </w:t>
            </w:r>
            <w:r>
              <w:rPr>
                <w:rFonts w:hint="eastAsia"/>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r>
              <w:rPr>
                <w:rFonts w:hint="eastAsia"/>
                <w:u w:val="single"/>
              </w:rPr>
              <w:t xml:space="preserve">      </w:t>
            </w:r>
          </w:p>
          <w:p>
            <w:pPr>
              <w:shd w:val="clear" w:color="auto" w:fill="EBF1DE" w:themeFill="accent3" w:themeFillTint="32"/>
            </w:pPr>
            <w:r>
              <w:rPr>
                <w:rFonts w:hint="eastAsia"/>
              </w:rPr>
              <w:t>□组织现有内部资源的能力完全不能满足能源管理体系运行，需要从外部供方获得：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r>
              <w:rPr>
                <w:rFonts w:hint="eastAsia"/>
                <w:u w:val="single"/>
              </w:rPr>
              <w:t xml:space="preserve">      </w:t>
            </w:r>
          </w:p>
          <w:p>
            <w:pPr>
              <w:shd w:val="clear" w:color="auto" w:fill="EBF1DE" w:themeFill="accent3" w:themeFillTint="32"/>
            </w:pPr>
            <w:r>
              <w:rPr>
                <w:rFonts w:hint="eastAsia"/>
              </w:rPr>
              <w:t>□组织现有人力资源的能力完全不能满足能源管理体系运行，需要从外部供方获得：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lang w:val="en-US" w:eastAsia="zh-CN"/>
              </w:rPr>
              <w:t>占地面积：32亩</w:t>
            </w:r>
            <w:r>
              <w:rPr>
                <w:rFonts w:hint="eastAsia"/>
              </w:rPr>
              <w:t>；</w:t>
            </w:r>
            <w:r>
              <w:rPr>
                <w:rFonts w:hint="eastAsia"/>
                <w:lang w:val="en-US" w:eastAsia="zh-CN"/>
              </w:rPr>
              <w:t xml:space="preserve"> </w:t>
            </w:r>
            <w:r>
              <w:rPr>
                <w:rFonts w:hint="eastAsia"/>
              </w:rPr>
              <w:t xml:space="preserve"> </w:t>
            </w:r>
            <w:r>
              <w:rPr>
                <w:rFonts w:hint="eastAsia"/>
                <w:lang w:val="en-US" w:eastAsia="zh-CN"/>
              </w:rPr>
              <w:t>3条生产线（2条混凝土、1条砂浆）</w:t>
            </w:r>
            <w:r>
              <w:rPr>
                <w:rFonts w:hint="eastAsia"/>
              </w:rPr>
              <w:t xml:space="preserve">；库房 </w:t>
            </w:r>
            <w:r>
              <w:rPr>
                <w:rFonts w:hint="eastAsia"/>
                <w:lang w:val="en-US" w:eastAsia="zh-CN"/>
              </w:rPr>
              <w:t>1</w:t>
            </w:r>
            <w:r>
              <w:rPr>
                <w:rFonts w:hint="eastAsia"/>
              </w:rPr>
              <w:t xml:space="preserve"> 个；实验室</w:t>
            </w:r>
            <w:r>
              <w:rPr>
                <w:rFonts w:hint="eastAsia"/>
                <w:lang w:val="en-US" w:eastAsia="zh-CN"/>
              </w:rPr>
              <w:t>2</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highlight w:val="none"/>
                <w:u w:val="single"/>
              </w:rPr>
              <w:t>混凝土搅拌站</w:t>
            </w:r>
            <w:r>
              <w:rPr>
                <w:rFonts w:hint="eastAsia"/>
                <w:u w:val="single"/>
              </w:rPr>
              <w:t xml:space="preserve"> HZS240搅拌站机组2套</w:t>
            </w:r>
            <w:r>
              <w:rPr>
                <w:rFonts w:hint="eastAsia"/>
                <w:u w:val="single"/>
                <w:lang w:eastAsia="zh-CN"/>
              </w:rPr>
              <w:t>、</w:t>
            </w:r>
            <w:r>
              <w:rPr>
                <w:rFonts w:hint="eastAsia"/>
                <w:u w:val="single"/>
                <w:lang w:val="en-US" w:eastAsia="zh-CN"/>
              </w:rPr>
              <w:t>砂浆搅拌站1套</w:t>
            </w:r>
            <w:r>
              <w:rPr>
                <w:rFonts w:hint="eastAsia"/>
                <w:highlight w:val="none"/>
                <w:u w:val="single"/>
                <w:lang w:eastAsia="zh-CN"/>
              </w:rPr>
              <w:t>、、</w:t>
            </w:r>
            <w:r>
              <w:rPr>
                <w:rFonts w:hint="eastAsia"/>
                <w:highlight w:val="none"/>
                <w:u w:val="single"/>
                <w:lang w:val="en-US" w:eastAsia="zh-CN"/>
              </w:rPr>
              <w:t>下料机</w:t>
            </w:r>
            <w:r>
              <w:rPr>
                <w:rFonts w:hint="eastAsia"/>
                <w:u w:val="single"/>
              </w:rPr>
              <w:t xml:space="preserve"> （列举2~4种）</w:t>
            </w:r>
          </w:p>
          <w:p>
            <w:pPr>
              <w:shd w:val="clear" w:color="auto" w:fill="EBF1DE" w:themeFill="accent3" w:themeFillTint="32"/>
              <w:rPr>
                <w:u w:val="single"/>
              </w:rPr>
            </w:pPr>
            <w:r>
              <w:rPr>
                <w:rFonts w:hint="eastAsia"/>
              </w:rPr>
              <w:t>主要耗能设备有：</w:t>
            </w:r>
            <w:r>
              <w:rPr>
                <w:rFonts w:hint="eastAsia"/>
                <w:u w:val="single"/>
              </w:rPr>
              <w:t xml:space="preserve">  </w:t>
            </w:r>
            <w:r>
              <w:rPr>
                <w:rFonts w:hint="eastAsia"/>
                <w:highlight w:val="none"/>
                <w:u w:val="single"/>
                <w:lang w:val="en-US" w:eastAsia="zh-CN"/>
              </w:rPr>
              <w:t>空压机</w:t>
            </w:r>
            <w:r>
              <w:rPr>
                <w:rFonts w:hint="eastAsia"/>
                <w:u w:val="single"/>
                <w:lang w:val="en-US" w:eastAsia="zh-CN"/>
              </w:rPr>
              <w:t>（功率90KW）</w:t>
            </w:r>
            <w:r>
              <w:rPr>
                <w:rFonts w:hint="eastAsia"/>
                <w:highlight w:val="none"/>
                <w:u w:val="single"/>
              </w:rPr>
              <w:t xml:space="preserve"> </w:t>
            </w:r>
            <w:r>
              <w:rPr>
                <w:rFonts w:hint="eastAsia"/>
                <w:u w:val="single"/>
              </w:rPr>
              <w:t>（列举2~4种）</w:t>
            </w:r>
          </w:p>
          <w:p>
            <w:pPr>
              <w:shd w:val="clear" w:color="auto" w:fill="EBF1DE" w:themeFill="accent3" w:themeFillTint="32"/>
            </w:pPr>
            <w:r>
              <w:rPr>
                <w:rFonts w:hint="eastAsia"/>
              </w:rPr>
              <w:t>特种设备：</w:t>
            </w:r>
            <w:r>
              <w:rPr>
                <w:rFonts w:hint="eastAsia"/>
                <w:lang w:eastAsia="zh-CN"/>
              </w:rPr>
              <w:t>☑</w:t>
            </w:r>
            <w:r>
              <w:rPr>
                <w:rFonts w:hint="eastAsia"/>
                <w:lang w:val="en-US" w:eastAsia="zh-CN"/>
              </w:rPr>
              <w:t>铲</w:t>
            </w:r>
            <w:r>
              <w:rPr>
                <w:rFonts w:hint="eastAsia"/>
              </w:rPr>
              <w:t xml:space="preserve">车 </w:t>
            </w:r>
            <w:r>
              <w:rPr>
                <w:rFonts w:hint="eastAsia" w:ascii="Wingdings" w:hAnsi="Wingdings"/>
                <w:lang w:eastAsia="zh-CN"/>
              </w:rPr>
              <w:t>□</w:t>
            </w:r>
            <w:r>
              <w:rPr>
                <w:rFonts w:hint="eastAsia"/>
              </w:rPr>
              <w:t xml:space="preserve">行车 </w:t>
            </w:r>
            <w:r>
              <w:rPr>
                <w:rFonts w:hint="eastAsia"/>
                <w:lang w:eastAsia="zh-CN"/>
              </w:rPr>
              <w:t>□</w:t>
            </w:r>
            <w:r>
              <w:rPr>
                <w:rFonts w:hint="eastAsia"/>
              </w:rPr>
              <w:t xml:space="preserve">锅炉 </w:t>
            </w:r>
            <w:r>
              <w:rPr>
                <w:rFonts w:hint="eastAsia" w:ascii="Wingdings" w:hAnsi="Wingdings"/>
                <w:lang w:eastAsia="zh-CN"/>
              </w:rPr>
              <w:t>□</w:t>
            </w:r>
            <w:r>
              <w:rPr>
                <w:rFonts w:hint="eastAsia"/>
              </w:rPr>
              <w:t xml:space="preserve">电梯 </w:t>
            </w:r>
          </w:p>
          <w:p>
            <w:pPr>
              <w:shd w:val="clear" w:color="auto" w:fill="EBF1DE" w:themeFill="accent3" w:themeFillTint="32"/>
            </w:pPr>
            <w:r>
              <w:rPr>
                <w:rFonts w:hint="eastAsia"/>
              </w:rPr>
              <w:t>辅助场所：</w:t>
            </w:r>
            <w:r>
              <w:rPr>
                <w:rFonts w:hint="eastAsia"/>
                <w:lang w:eastAsia="zh-CN"/>
              </w:rPr>
              <w:t>☑</w:t>
            </w:r>
            <w:r>
              <w:rPr>
                <w:rFonts w:hint="eastAsia"/>
              </w:rPr>
              <w:t xml:space="preserve">高压配电室 </w:t>
            </w:r>
            <w:r>
              <w:rPr>
                <w:rFonts w:hint="eastAsia"/>
                <w:lang w:eastAsia="zh-CN"/>
              </w:rPr>
              <w:t>☑</w:t>
            </w:r>
            <w:r>
              <w:rPr>
                <w:rFonts w:hint="eastAsia"/>
              </w:rPr>
              <w:t xml:space="preserve">低压配电室 </w:t>
            </w:r>
            <w:r>
              <w:rPr>
                <w:rFonts w:hint="eastAsia"/>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lang w:eastAsia="zh-CN"/>
              </w:rPr>
              <w:t>☑</w:t>
            </w:r>
            <w:r>
              <w:rPr>
                <w:rFonts w:hint="eastAsia"/>
              </w:rPr>
              <w:t xml:space="preserve">食堂  </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□组织现有基础设施完全不能满足能源管理体系运行，需要从外部供方获得：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计量器具的测量溯源方法：  </w:t>
            </w:r>
            <w:r>
              <w:rPr>
                <w:rFonts w:hint="eastAsia" w:ascii="Wingdings" w:hAnsi="Wingdings"/>
                <w:lang w:eastAsia="zh-CN"/>
              </w:rPr>
              <w:t>□</w:t>
            </w:r>
            <w:r>
              <w:rPr>
                <w:rFonts w:hint="eastAsia"/>
              </w:rPr>
              <w:t xml:space="preserve">自校   </w:t>
            </w:r>
            <w:r>
              <w:rPr>
                <w:rFonts w:hint="eastAsia"/>
                <w:lang w:eastAsia="zh-CN"/>
              </w:rPr>
              <w:t>☑</w:t>
            </w:r>
            <w:r>
              <w:rPr>
                <w:rFonts w:hint="eastAsia"/>
              </w:rPr>
              <w:t xml:space="preserve">外校 </w:t>
            </w:r>
          </w:p>
          <w:p>
            <w:pPr>
              <w:shd w:val="clear" w:color="auto" w:fill="EBF1DE" w:themeFill="accent3" w:themeFillTint="32"/>
              <w:rPr>
                <w:u w:val="single"/>
              </w:rPr>
            </w:pPr>
            <w:r>
              <w:rPr>
                <w:rFonts w:hint="eastAsia"/>
              </w:rPr>
              <w:t>能源计量器具有：</w:t>
            </w:r>
            <w:r>
              <w:rPr>
                <w:rFonts w:hint="eastAsia"/>
                <w:u w:val="single"/>
              </w:rPr>
              <w:t xml:space="preserve">    </w:t>
            </w:r>
            <w:r>
              <w:rPr>
                <w:rFonts w:hint="eastAsia"/>
                <w:u w:val="single"/>
                <w:lang w:val="en-US" w:eastAsia="zh-CN"/>
              </w:rPr>
              <w:t>电表，水表</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lang w:eastAsia="zh-CN"/>
              </w:rPr>
              <w:t>☑</w:t>
            </w:r>
            <w:r>
              <w:rPr>
                <w:rFonts w:hint="eastAsia"/>
              </w:rPr>
              <w:t xml:space="preserve">未进行定期校准/检定的有： </w:t>
            </w:r>
            <w:r>
              <w:rPr>
                <w:rFonts w:hint="eastAsia"/>
                <w:u w:val="single"/>
                <w:lang w:val="en-US" w:eastAsia="zh-CN"/>
              </w:rPr>
              <w:t>电表由电力部门负责。</w:t>
            </w:r>
            <w:r>
              <w:rPr>
                <w:rFonts w:hint="eastAsia"/>
                <w:highlight w:val="none"/>
                <w:u w:val="single"/>
                <w:lang w:val="en-US" w:eastAsia="zh-CN"/>
              </w:rPr>
              <w:t>企业的新鲜水是自采地下水</w:t>
            </w:r>
            <w:r>
              <w:rPr>
                <w:rFonts w:hint="eastAsia"/>
                <w:u w:val="single"/>
                <w:lang w:val="en-US" w:eastAsia="zh-CN"/>
              </w:rPr>
              <w:t>，未提供取水证和相关文件，已与企业进行了沟通。</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lang w:eastAsia="zh-CN"/>
              </w:rPr>
              <w:t>□</w:t>
            </w:r>
            <w:r>
              <w:rPr>
                <w:rFonts w:hint="eastAsia"/>
              </w:rPr>
              <w:t>其他</w:t>
            </w:r>
          </w:p>
          <w:p>
            <w:pPr>
              <w:shd w:val="clear" w:color="auto" w:fill="EBF1DE" w:themeFill="accent3" w:themeFillTint="32"/>
            </w:pPr>
            <w:r>
              <w:rPr>
                <w:rFonts w:hint="eastAsia"/>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lang w:eastAsia="zh-CN"/>
              </w:rPr>
              <w:t>☑</w:t>
            </w:r>
            <w:r>
              <w:rPr>
                <w:rFonts w:hint="eastAsia"/>
              </w:rPr>
              <w:t xml:space="preserve">局域网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lang w:eastAsia="zh-CN"/>
              </w:rPr>
              <w:t>☑</w:t>
            </w:r>
            <w:r>
              <w:rPr>
                <w:rFonts w:hint="eastAsia"/>
              </w:rPr>
              <w:t xml:space="preserve">文件发放 </w:t>
            </w:r>
            <w:r>
              <w:rPr>
                <w:rFonts w:hint="eastAsia"/>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lang w:eastAsia="zh-CN"/>
              </w:rPr>
              <w:t>□</w:t>
            </w:r>
            <w:r>
              <w:rPr>
                <w:rFonts w:hint="eastAsia"/>
              </w:rPr>
              <w:t>其他</w:t>
            </w:r>
          </w:p>
          <w:p>
            <w:pPr>
              <w:shd w:val="clear" w:color="auto" w:fill="EBF1DE" w:themeFill="accent3" w:themeFillTint="32"/>
            </w:pPr>
            <w:r>
              <w:rPr>
                <w:rFonts w:hint="eastAsia"/>
              </w:rPr>
              <w:t>外部沟通方式：</w:t>
            </w:r>
            <w:r>
              <w:rPr>
                <w:rFonts w:hint="eastAsia"/>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组织已建立了文件化的能源管理体系。对自编文件的编制、审批、发放、变更和作废进行了控制。 </w:t>
            </w:r>
            <w:r>
              <w:rPr>
                <w:rFonts w:hint="eastAsia"/>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组织为满足节能管理的要求，已对用能过程建立了相应的运行准则；按照运行准则实施过程控制。策划文件包括：</w:t>
            </w:r>
          </w:p>
          <w:p>
            <w:pPr>
              <w:shd w:val="clear" w:color="auto" w:fill="EBF1DE" w:themeFill="accent3" w:themeFillTint="32"/>
            </w:pPr>
            <w:r>
              <w:rPr>
                <w:rFonts w:hint="eastAsia" w:ascii="Times New Roman" w:hAnsi="Times New Roman" w:eastAsia="宋体" w:cs="Times New Roman"/>
              </w:rPr>
              <w:t xml:space="preserve"> </w:t>
            </w:r>
            <w:r>
              <w:rPr>
                <w:rFonts w:hint="eastAsia"/>
                <w:lang w:eastAsia="zh-CN"/>
              </w:rPr>
              <w:t>☑</w:t>
            </w:r>
            <w:r>
              <w:rPr>
                <w:rFonts w:hint="eastAsia" w:ascii="Times New Roman" w:hAnsi="Times New Roman" w:eastAsia="宋体" w:cs="Times New Roman"/>
              </w:rPr>
              <w:t xml:space="preserve">操作规程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作业文件  </w:t>
            </w:r>
            <w:r>
              <w:rPr>
                <w:rFonts w:hint="eastAsia"/>
                <w:lang w:eastAsia="zh-CN"/>
              </w:rPr>
              <w:t>□</w:t>
            </w:r>
            <w:r>
              <w:rPr>
                <w:rFonts w:hint="eastAsia" w:ascii="Times New Roman" w:hAnsi="Times New Roman" w:eastAsia="宋体" w:cs="Times New Roman"/>
              </w:rPr>
              <w:t xml:space="preserve">工艺卡片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接收准则  </w:t>
            </w:r>
            <w:r>
              <w:rPr>
                <w:rFonts w:hint="eastAsia"/>
                <w:lang w:eastAsia="zh-CN"/>
              </w:rPr>
              <w:t>☑</w:t>
            </w:r>
            <w:r>
              <w:rPr>
                <w:rFonts w:hint="eastAsia" w:ascii="Times New Roman" w:hAnsi="Times New Roman" w:eastAsia="宋体" w:cs="Times New Roman"/>
              </w:rPr>
              <w:t xml:space="preserve">工艺流程图  </w:t>
            </w:r>
            <w:r>
              <w:rPr>
                <w:rFonts w:hint="eastAsia"/>
                <w:lang w:eastAsia="zh-CN"/>
              </w:rPr>
              <w:t>□</w:t>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lang w:eastAsia="zh-CN"/>
              </w:rPr>
              <w:t>☑</w:t>
            </w:r>
            <w:r>
              <w:rPr>
                <w:rFonts w:hint="eastAsia"/>
              </w:rPr>
              <w:t xml:space="preserve">能源采购 </w:t>
            </w:r>
            <w:r>
              <w:rPr>
                <w:rFonts w:hint="eastAsia"/>
                <w:lang w:eastAsia="zh-CN"/>
              </w:rPr>
              <w:t>☑</w:t>
            </w:r>
            <w:r>
              <w:rPr>
                <w:rFonts w:hint="eastAsia"/>
              </w:rPr>
              <w:t xml:space="preserve">主要用能设备采购 </w:t>
            </w:r>
            <w:r>
              <w:rPr>
                <w:rFonts w:hint="eastAsia"/>
                <w:lang w:eastAsia="zh-CN"/>
              </w:rPr>
              <w:t>□</w:t>
            </w:r>
            <w:r>
              <w:rPr>
                <w:rFonts w:hint="eastAsia"/>
              </w:rPr>
              <w:t xml:space="preserve">淘汰落后设备更新 </w:t>
            </w:r>
            <w:r>
              <w:rPr>
                <w:rFonts w:hint="eastAsia"/>
                <w:lang w:eastAsia="zh-CN"/>
              </w:rPr>
              <w:t>☑</w:t>
            </w:r>
            <w:r>
              <w:rPr>
                <w:rFonts w:hint="eastAsia"/>
              </w:rPr>
              <w:t xml:space="preserve">能源计量器具采购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lang w:eastAsia="zh-CN"/>
              </w:rPr>
              <w:t>☑</w:t>
            </w:r>
            <w:r>
              <w:rPr>
                <w:rFonts w:hint="eastAsia"/>
              </w:rPr>
              <w:t xml:space="preserve">现场检查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加强节电管理，定期检查</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组织对生产和服务提供的有预期和非预期的更改进行必要的节能效果评审和制订控制措施，以确保持续地符合法规要求。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节能技术的实施 </w:t>
            </w:r>
            <w:r>
              <w:rPr>
                <w:rFonts w:hint="eastAsia" w:ascii="Wingdings" w:hAnsi="Wingdings"/>
                <w:lang w:eastAsia="zh-CN"/>
              </w:rPr>
              <w:t>□</w:t>
            </w:r>
            <w:r>
              <w:rPr>
                <w:rFonts w:hint="eastAsia"/>
              </w:rPr>
              <w:t xml:space="preserve">节能设备的更新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lang w:eastAsia="zh-CN"/>
              </w:rPr>
              <w:t>☑</w:t>
            </w:r>
            <w:r>
              <w:rPr>
                <w:rFonts w:hint="eastAsia"/>
              </w:rPr>
              <w:t>定期（每年） ：</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组织在适当阶段实施策划的安排，以验证能源法律法规的要求已得到满足。 </w:t>
            </w:r>
          </w:p>
          <w:p>
            <w:pPr>
              <w:shd w:val="clear" w:color="auto" w:fill="EBF1DE" w:themeFill="accent3" w:themeFillTint="32"/>
            </w:pPr>
            <w:r>
              <w:rPr>
                <w:rFonts w:hint="eastAsia"/>
              </w:rPr>
              <w:t>实施的检测：</w:t>
            </w:r>
            <w:r>
              <w:rPr>
                <w:rFonts w:hint="eastAsia"/>
                <w:lang w:eastAsia="zh-CN"/>
              </w:rPr>
              <w:t>□</w:t>
            </w:r>
            <w:r>
              <w:rPr>
                <w:rFonts w:hint="eastAsia"/>
              </w:rPr>
              <w:t xml:space="preserve">企业自测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r>
              <w:rPr>
                <w:rFonts w:hint="eastAsia"/>
                <w:u w:val="single"/>
              </w:rPr>
              <w:t xml:space="preserve">   </w:t>
            </w:r>
            <w:r>
              <w:rPr>
                <w:rFonts w:hint="eastAsia"/>
                <w:u w:val="single"/>
                <w:lang w:val="en-US" w:eastAsia="zh-CN"/>
              </w:rPr>
              <w:t>未测试</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lang w:eastAsia="zh-CN"/>
              </w:rPr>
              <w:t>☑</w:t>
            </w:r>
            <w:r>
              <w:rPr>
                <w:rFonts w:hint="eastAsia"/>
              </w:rPr>
              <w:t xml:space="preserve">符合要求 </w:t>
            </w:r>
            <w:r>
              <w:rPr>
                <w:rFonts w:hint="eastAsia"/>
                <w:lang w:eastAsia="zh-CN"/>
              </w:rPr>
              <w:t>□</w:t>
            </w:r>
            <w:r>
              <w:rPr>
                <w:rFonts w:hint="eastAsia"/>
              </w:rPr>
              <w:t>存在不足，说明</w:t>
            </w:r>
            <w:r>
              <w:rPr>
                <w:rFonts w:hint="eastAsia"/>
                <w:u w:val="single"/>
              </w:rPr>
              <w:t xml:space="preserve">  </w:t>
            </w:r>
            <w:r>
              <w:rPr>
                <w:rFonts w:hint="eastAsia"/>
                <w:highlight w:val="none"/>
                <w:u w:val="single"/>
                <w:lang w:val="en-US" w:eastAsia="zh-CN"/>
              </w:rPr>
              <w:t>无主要耗能设备</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highlight w:val="yellow"/>
                <w:u w:val="single"/>
              </w:rPr>
              <w:t xml:space="preserve"> </w:t>
            </w:r>
            <w:r>
              <w:rPr>
                <w:rFonts w:hint="eastAsia"/>
                <w:highlight w:val="yellow"/>
                <w:u w:val="single"/>
                <w:lang w:val="en-US" w:eastAsia="zh-CN"/>
              </w:rPr>
              <w:t>2022</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7</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25</w:t>
            </w:r>
            <w:r>
              <w:rPr>
                <w:rFonts w:hint="eastAsia"/>
                <w:highlight w:val="yellow"/>
                <w:u w:val="single"/>
              </w:rPr>
              <w:t xml:space="preserve"> </w:t>
            </w:r>
            <w:r>
              <w:rPr>
                <w:rFonts w:hint="eastAsia"/>
                <w:highlight w:val="yellow"/>
              </w:rPr>
              <w:t>日</w:t>
            </w:r>
            <w:r>
              <w:rPr>
                <w:rFonts w:hint="eastAsia"/>
              </w:rPr>
              <w:t>实施了能源管理体系内部审核，对能源管理体系的符合性和有效性进行了审核。内审发现的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lang w:eastAsia="zh-CN"/>
              </w:rPr>
              <w:t>□</w:t>
            </w:r>
            <w:r>
              <w:rPr>
                <w:rFonts w:hint="eastAsia"/>
              </w:rPr>
              <w:t>对所有班次的现场操作已审核。</w:t>
            </w:r>
          </w:p>
          <w:p>
            <w:pPr>
              <w:shd w:val="clear" w:color="auto" w:fill="EBF1DE" w:themeFill="accent3" w:themeFillTint="32"/>
            </w:pPr>
            <w:r>
              <w:rPr>
                <w:rFonts w:hint="eastAsia"/>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highlight w:val="yellow"/>
                <w:u w:val="single"/>
              </w:rPr>
              <w:t xml:space="preserve">  </w:t>
            </w:r>
            <w:r>
              <w:rPr>
                <w:rFonts w:hint="eastAsia"/>
                <w:highlight w:val="yellow"/>
                <w:u w:val="single"/>
                <w:lang w:val="en-US" w:eastAsia="zh-CN"/>
              </w:rPr>
              <w:t>2022</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u w:val="single"/>
                <w:lang w:val="en-US" w:eastAsia="zh-CN"/>
              </w:rPr>
              <w:t>7</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u w:val="single"/>
                <w:lang w:val="en-US" w:eastAsia="zh-CN"/>
              </w:rPr>
              <w:t>30</w:t>
            </w:r>
            <w:r>
              <w:rPr>
                <w:rFonts w:hint="eastAsia"/>
                <w:highlight w:val="yellow"/>
              </w:rPr>
              <w:t>日</w:t>
            </w:r>
            <w:r>
              <w:rPr>
                <w:rFonts w:hint="eastAsia"/>
              </w:rPr>
              <w:t>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lang w:eastAsia="zh-CN"/>
              </w:rPr>
              <w:t>☑</w:t>
            </w:r>
            <w:r>
              <w:rPr>
                <w:rFonts w:hint="eastAsia"/>
              </w:rPr>
              <w:t xml:space="preserve">自我检查的结果  </w:t>
            </w:r>
            <w:r>
              <w:rPr>
                <w:rFonts w:hint="eastAsia"/>
                <w:lang w:eastAsia="zh-CN"/>
              </w:rPr>
              <w:t>☑</w:t>
            </w:r>
            <w:r>
              <w:rPr>
                <w:rFonts w:hint="eastAsia"/>
              </w:rPr>
              <w:t xml:space="preserve">主管部门要求整改 </w:t>
            </w:r>
          </w:p>
          <w:p>
            <w:pPr>
              <w:shd w:val="clear" w:color="auto" w:fill="EBF1DE" w:themeFill="accent3" w:themeFillTint="32"/>
            </w:pPr>
            <w:r>
              <w:rPr>
                <w:rFonts w:hint="eastAsia"/>
                <w:lang w:eastAsia="zh-CN"/>
              </w:rPr>
              <w:t>☑</w:t>
            </w:r>
            <w:r>
              <w:rPr>
                <w:rFonts w:hint="eastAsia"/>
              </w:rPr>
              <w:t xml:space="preserve">内审不符合项   </w:t>
            </w:r>
            <w:r>
              <w:rPr>
                <w:rFonts w:hint="eastAsia"/>
                <w:lang w:eastAsia="zh-CN"/>
              </w:rPr>
              <w:t>☑</w:t>
            </w:r>
            <w:r>
              <w:rPr>
                <w:rFonts w:hint="eastAsia"/>
              </w:rPr>
              <w:t xml:space="preserve">外审不符合项  </w:t>
            </w:r>
            <w:r>
              <w:rPr>
                <w:rFonts w:hint="eastAsia"/>
                <w:lang w:eastAsia="zh-CN"/>
              </w:rPr>
              <w:t>☑</w:t>
            </w:r>
            <w:r>
              <w:rPr>
                <w:rFonts w:hint="eastAsia"/>
              </w:rPr>
              <w:t xml:space="preserve">管理评审   </w:t>
            </w:r>
            <w:r>
              <w:rPr>
                <w:rFonts w:hint="eastAsia"/>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98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41"/>
        <w:gridCol w:w="741"/>
        <w:gridCol w:w="741"/>
        <w:gridCol w:w="741"/>
        <w:gridCol w:w="741"/>
        <w:gridCol w:w="741"/>
        <w:gridCol w:w="741"/>
        <w:gridCol w:w="741"/>
        <w:gridCol w:w="74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41" w:type="dxa"/>
            <w:shd w:val="clear" w:color="auto" w:fill="EBF1DE" w:themeFill="accent3" w:themeFillTint="32"/>
            <w:vAlign w:val="center"/>
          </w:tcPr>
          <w:p>
            <w:pPr>
              <w:shd w:val="clear" w:color="auto" w:fill="EBF1DE" w:themeFill="accent3" w:themeFillTint="32"/>
            </w:pPr>
            <w:r>
              <w:rPr>
                <w:rFonts w:hint="eastAsia"/>
              </w:rPr>
              <w:t>7.2</w:t>
            </w:r>
          </w:p>
        </w:tc>
        <w:tc>
          <w:tcPr>
            <w:tcW w:w="741" w:type="dxa"/>
            <w:shd w:val="clear" w:color="auto" w:fill="EBF1DE" w:themeFill="accent3" w:themeFillTint="32"/>
            <w:vAlign w:val="center"/>
          </w:tcPr>
          <w:p>
            <w:pPr>
              <w:shd w:val="clear" w:color="auto" w:fill="EBF1DE" w:themeFill="accent3" w:themeFillTint="32"/>
            </w:pPr>
            <w:r>
              <w:rPr>
                <w:rFonts w:hint="eastAsia"/>
              </w:rPr>
              <w:t>7.3</w:t>
            </w:r>
          </w:p>
        </w:tc>
        <w:tc>
          <w:tcPr>
            <w:tcW w:w="741" w:type="dxa"/>
            <w:shd w:val="clear" w:color="auto" w:fill="EBF1DE" w:themeFill="accent3" w:themeFillTint="32"/>
            <w:vAlign w:val="center"/>
          </w:tcPr>
          <w:p>
            <w:pPr>
              <w:shd w:val="clear" w:color="auto" w:fill="EBF1DE" w:themeFill="accent3" w:themeFillTint="32"/>
            </w:pPr>
            <w:r>
              <w:rPr>
                <w:rFonts w:hint="eastAsia"/>
              </w:rPr>
              <w:t>7.4</w:t>
            </w:r>
          </w:p>
        </w:tc>
        <w:tc>
          <w:tcPr>
            <w:tcW w:w="741" w:type="dxa"/>
            <w:shd w:val="clear" w:color="auto" w:fill="EBF1DE" w:themeFill="accent3" w:themeFillTint="32"/>
            <w:vAlign w:val="center"/>
          </w:tcPr>
          <w:p>
            <w:pPr>
              <w:shd w:val="clear" w:color="auto" w:fill="EBF1DE" w:themeFill="accent3" w:themeFillTint="32"/>
            </w:pPr>
            <w:r>
              <w:rPr>
                <w:rFonts w:hint="eastAsia"/>
              </w:rPr>
              <w:t>7.5</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45"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5"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1" w:type="dxa"/>
            <w:shd w:val="clear" w:color="auto" w:fill="EBF1DE" w:themeFill="accent3" w:themeFillTint="32"/>
            <w:vAlign w:val="center"/>
          </w:tcPr>
          <w:p>
            <w:pPr>
              <w:shd w:val="clear" w:color="auto" w:fill="EBF1DE" w:themeFill="accent3" w:themeFillTint="32"/>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41" w:type="dxa"/>
            <w:shd w:val="clear" w:color="auto" w:fill="EBF1DE" w:themeFill="accent3" w:themeFillTint="32"/>
            <w:vAlign w:val="center"/>
          </w:tcPr>
          <w:p>
            <w:pPr>
              <w:shd w:val="clear" w:color="auto" w:fill="EBF1DE" w:themeFill="accent3" w:themeFillTint="32"/>
            </w:pPr>
            <w:r>
              <w:rPr>
                <w:rFonts w:hint="eastAsia"/>
              </w:rPr>
              <w:t>8.3</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41"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1" w:type="dxa"/>
            <w:shd w:val="clear" w:color="auto" w:fill="EBF1DE" w:themeFill="accent3" w:themeFillTint="32"/>
            <w:vAlign w:val="center"/>
          </w:tcPr>
          <w:p>
            <w:pPr>
              <w:shd w:val="clear" w:color="auto" w:fill="EBF1DE" w:themeFill="accent3" w:themeFillTint="32"/>
              <w:rPr>
                <w:lang w:eastAsia="ja-JP"/>
              </w:rPr>
            </w:pPr>
          </w:p>
        </w:tc>
        <w:tc>
          <w:tcPr>
            <w:tcW w:w="745"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rPr>
          <w:rFonts w:eastAsia="微软雅黑"/>
        </w:rPr>
      </w:pPr>
      <w:r>
        <w:t xml:space="preserve">*评价: </w:t>
      </w:r>
      <w:r>
        <w:tab/>
      </w:r>
      <w:r>
        <w:t>1 = 符合</w:t>
      </w:r>
      <w:r>
        <w:rPr>
          <w:rFonts w:hint="eastAsia"/>
          <w:lang w:val="en-US" w:eastAsia="zh-CN"/>
        </w:rPr>
        <w:t xml:space="preserve">   </w:t>
      </w:r>
      <w:r>
        <w:t>2 = 这次审核没审</w:t>
      </w:r>
      <w:r>
        <w:rPr>
          <w:rFonts w:hint="eastAsia"/>
          <w:lang w:val="en-US" w:eastAsia="zh-CN"/>
        </w:rPr>
        <w:t xml:space="preserve">   </w:t>
      </w:r>
      <w:r>
        <w:t>3 = 失效/不符合(参见不符合报告)  4 = 不适用</w:t>
      </w: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FhOTUxOWU4NmEyZTY3NTg5Zjg0ZDY5NTZmMzA5NGQifQ=="/>
  </w:docVars>
  <w:rsids>
    <w:rsidRoot w:val="00000000"/>
    <w:rsid w:val="407B56EC"/>
    <w:rsid w:val="59F52134"/>
    <w:rsid w:val="75E90D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23642</Words>
  <Characters>24533</Characters>
  <Lines>191</Lines>
  <Paragraphs>53</Paragraphs>
  <TotalTime>0</TotalTime>
  <ScaleCrop>false</ScaleCrop>
  <LinksUpToDate>false</LinksUpToDate>
  <CharactersWithSpaces>24684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开门大吉～ISO认证服务</cp:lastModifiedBy>
  <cp:lastPrinted>2019-05-13T03:19:00Z</cp:lastPrinted>
  <dcterms:modified xsi:type="dcterms:W3CDTF">2022-08-23T01:29:01Z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2052-11.1.0.12313</vt:lpwstr>
  </property>
</Properties>
</file>