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52"/>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0" w:type="dxa"/>
            <w:vMerge w:val="restart"/>
            <w:vAlign w:val="center"/>
          </w:tcPr>
          <w:p>
            <w:pPr>
              <w:rPr>
                <w:rFonts w:hint="eastAsia"/>
                <w:sz w:val="24"/>
                <w:szCs w:val="24"/>
                <w:lang w:val="en-US" w:eastAsia="zh-CN"/>
              </w:rPr>
            </w:pPr>
            <w:r>
              <w:rPr>
                <w:rFonts w:hint="eastAsia"/>
                <w:sz w:val="24"/>
                <w:szCs w:val="24"/>
                <w:lang w:val="en-US" w:eastAsia="zh-CN"/>
              </w:rPr>
              <w:t>过程与活动、</w:t>
            </w:r>
          </w:p>
          <w:p>
            <w:pPr>
              <w:rPr>
                <w:rFonts w:hint="eastAsia"/>
                <w:sz w:val="24"/>
                <w:szCs w:val="24"/>
                <w:lang w:val="en-US" w:eastAsia="zh-CN"/>
              </w:rPr>
            </w:pPr>
            <w:r>
              <w:rPr>
                <w:rFonts w:hint="eastAsia"/>
                <w:sz w:val="24"/>
                <w:szCs w:val="24"/>
                <w:lang w:val="en-US" w:eastAsia="zh-CN"/>
              </w:rPr>
              <w:t>抽样计划</w:t>
            </w:r>
          </w:p>
        </w:tc>
        <w:tc>
          <w:tcPr>
            <w:tcW w:w="960" w:type="dxa"/>
            <w:vMerge w:val="restart"/>
            <w:vAlign w:val="center"/>
          </w:tcPr>
          <w:p>
            <w:pPr>
              <w:rPr>
                <w:rFonts w:hint="eastAsia"/>
                <w:sz w:val="24"/>
                <w:szCs w:val="24"/>
                <w:lang w:val="en-US" w:eastAsia="zh-CN"/>
              </w:rPr>
            </w:pPr>
            <w:r>
              <w:rPr>
                <w:rFonts w:hint="eastAsia"/>
                <w:sz w:val="24"/>
                <w:szCs w:val="24"/>
                <w:lang w:val="en-US" w:eastAsia="zh-CN"/>
              </w:rPr>
              <w:t>涉及</w:t>
            </w:r>
          </w:p>
          <w:p>
            <w:pPr>
              <w:rPr>
                <w:rFonts w:hint="eastAsia"/>
                <w:sz w:val="24"/>
                <w:szCs w:val="24"/>
                <w:lang w:val="en-US" w:eastAsia="zh-CN"/>
              </w:rPr>
            </w:pPr>
            <w:r>
              <w:rPr>
                <w:rFonts w:hint="eastAsia"/>
                <w:sz w:val="24"/>
                <w:szCs w:val="24"/>
                <w:lang w:val="en-US" w:eastAsia="zh-CN"/>
              </w:rPr>
              <w:t>条款</w:t>
            </w:r>
          </w:p>
        </w:tc>
        <w:tc>
          <w:tcPr>
            <w:tcW w:w="10952" w:type="dxa"/>
            <w:vAlign w:val="center"/>
          </w:tcPr>
          <w:p>
            <w:pPr>
              <w:rPr>
                <w:rFonts w:hint="default"/>
                <w:sz w:val="24"/>
                <w:szCs w:val="24"/>
                <w:lang w:val="en-US" w:eastAsia="zh-CN"/>
              </w:rPr>
            </w:pPr>
            <w:r>
              <w:rPr>
                <w:rFonts w:hint="eastAsia"/>
                <w:sz w:val="24"/>
                <w:szCs w:val="24"/>
                <w:lang w:val="en-US" w:eastAsia="zh-CN"/>
              </w:rPr>
              <w:t>受审核部门：技术部       主管领导：杨建青        陪同人员：云英</w:t>
            </w:r>
          </w:p>
        </w:tc>
        <w:tc>
          <w:tcPr>
            <w:tcW w:w="637" w:type="dxa"/>
            <w:vMerge w:val="restart"/>
            <w:vAlign w:val="center"/>
          </w:tcPr>
          <w:p>
            <w:pPr>
              <w:rPr>
                <w:rFonts w:hint="eastAsia"/>
                <w:sz w:val="24"/>
                <w:szCs w:val="24"/>
                <w:lang w:val="en-US" w:eastAsia="zh-CN"/>
              </w:rPr>
            </w:pPr>
            <w:r>
              <w:rPr>
                <w:rFonts w:hint="eastAsia"/>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sz w:val="24"/>
                <w:szCs w:val="24"/>
                <w:lang w:val="en-US" w:eastAsia="zh-CN"/>
              </w:rPr>
            </w:pPr>
          </w:p>
        </w:tc>
        <w:tc>
          <w:tcPr>
            <w:tcW w:w="960" w:type="dxa"/>
            <w:vMerge w:val="continue"/>
            <w:vAlign w:val="center"/>
          </w:tcPr>
          <w:p>
            <w:pPr>
              <w:rPr>
                <w:rFonts w:hint="eastAsia"/>
                <w:sz w:val="24"/>
                <w:szCs w:val="24"/>
                <w:lang w:val="en-US" w:eastAsia="zh-CN"/>
              </w:rPr>
            </w:pPr>
          </w:p>
        </w:tc>
        <w:tc>
          <w:tcPr>
            <w:tcW w:w="10952" w:type="dxa"/>
            <w:vAlign w:val="center"/>
          </w:tcPr>
          <w:p>
            <w:pPr>
              <w:rPr>
                <w:rFonts w:hint="eastAsia"/>
                <w:sz w:val="24"/>
                <w:szCs w:val="24"/>
                <w:lang w:val="en-US" w:eastAsia="zh-CN"/>
              </w:rPr>
            </w:pPr>
            <w:r>
              <w:rPr>
                <w:rFonts w:hint="eastAsia"/>
                <w:sz w:val="24"/>
                <w:szCs w:val="24"/>
                <w:lang w:val="en-US" w:eastAsia="zh-CN"/>
              </w:rPr>
              <w:t xml:space="preserve">审核员：周涛              审核时间：2022-8-15    </w:t>
            </w:r>
          </w:p>
        </w:tc>
        <w:tc>
          <w:tcPr>
            <w:tcW w:w="637" w:type="dxa"/>
            <w:vMerge w:val="continue"/>
          </w:tcPr>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sz w:val="24"/>
                <w:szCs w:val="24"/>
                <w:lang w:val="en-US" w:eastAsia="zh-CN"/>
              </w:rPr>
            </w:pPr>
          </w:p>
        </w:tc>
        <w:tc>
          <w:tcPr>
            <w:tcW w:w="960" w:type="dxa"/>
            <w:vMerge w:val="continue"/>
            <w:vAlign w:val="center"/>
          </w:tcPr>
          <w:p>
            <w:pPr>
              <w:rPr>
                <w:rFonts w:hint="eastAsia"/>
                <w:sz w:val="24"/>
                <w:szCs w:val="24"/>
                <w:lang w:val="en-US" w:eastAsia="zh-CN"/>
              </w:rPr>
            </w:pPr>
          </w:p>
        </w:tc>
        <w:tc>
          <w:tcPr>
            <w:tcW w:w="10952" w:type="dxa"/>
            <w:vAlign w:val="center"/>
          </w:tcPr>
          <w:p>
            <w:pPr>
              <w:rPr>
                <w:rFonts w:hint="default"/>
                <w:sz w:val="24"/>
                <w:szCs w:val="24"/>
                <w:lang w:val="en-US" w:eastAsia="zh-CN"/>
              </w:rPr>
            </w:pPr>
            <w:r>
              <w:rPr>
                <w:rFonts w:hint="eastAsia"/>
                <w:sz w:val="24"/>
                <w:szCs w:val="24"/>
                <w:lang w:val="en-US" w:eastAsia="zh-CN"/>
              </w:rPr>
              <w:t>审核条款：5.3 组织的岗位、职责和权限、6.2 目标、能源指及其实现的策划、7.4信息交流、8.2设计、9.2内部审核</w:t>
            </w:r>
          </w:p>
        </w:tc>
        <w:tc>
          <w:tcPr>
            <w:tcW w:w="637" w:type="dxa"/>
            <w:vMerge w:val="continue"/>
          </w:tcPr>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 w:val="24"/>
                <w:szCs w:val="24"/>
                <w:lang w:val="en-US" w:eastAsia="zh-CN"/>
              </w:rPr>
            </w:pPr>
            <w:r>
              <w:rPr>
                <w:rFonts w:hint="eastAsia"/>
                <w:sz w:val="24"/>
                <w:szCs w:val="24"/>
                <w:lang w:val="en-US" w:eastAsia="zh-CN"/>
              </w:rPr>
              <w:t>能源职责、</w:t>
            </w:r>
          </w:p>
          <w:p>
            <w:pPr>
              <w:rPr>
                <w:rFonts w:hint="eastAsia"/>
                <w:sz w:val="24"/>
                <w:szCs w:val="24"/>
                <w:lang w:val="en-US" w:eastAsia="zh-CN"/>
              </w:rPr>
            </w:pPr>
          </w:p>
        </w:tc>
        <w:tc>
          <w:tcPr>
            <w:tcW w:w="960" w:type="dxa"/>
          </w:tcPr>
          <w:p>
            <w:pPr>
              <w:rPr>
                <w:rFonts w:hint="eastAsia"/>
                <w:sz w:val="24"/>
                <w:szCs w:val="24"/>
                <w:lang w:val="en-US" w:eastAsia="zh-CN"/>
              </w:rPr>
            </w:pPr>
            <w:r>
              <w:rPr>
                <w:rFonts w:hint="eastAsia"/>
                <w:sz w:val="24"/>
                <w:szCs w:val="24"/>
                <w:lang w:val="en-US" w:eastAsia="zh-CN"/>
              </w:rPr>
              <w:t>5.3/</w:t>
            </w:r>
          </w:p>
          <w:p>
            <w:pPr>
              <w:rPr>
                <w:rFonts w:hint="eastAsia"/>
                <w:sz w:val="24"/>
                <w:szCs w:val="24"/>
                <w:lang w:val="en-US" w:eastAsia="zh-CN"/>
              </w:rPr>
            </w:pPr>
          </w:p>
        </w:tc>
        <w:tc>
          <w:tcPr>
            <w:tcW w:w="10952"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技术部：领导：杨建青 ，共3人；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1、负责按照标准要求开展原材料、产成品的检验试验工作；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2、负责检验和试验状态标识的综合管理工作；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3、负责外购产品的交验工作；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4、负责对生产过程中的质量控制，防止不合格品的产生；</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5、组织混凝土的技术资料的发放工作；</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6、参与混凝土新技术研发及应用工作；</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7、负责混凝土生产过程质量控制及管理工作；</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8、负责混凝土的出厂检验，对不符合要求的产品进行评审处理；</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9、负责质量事故的调查、分析和处理工作；</w:t>
            </w:r>
          </w:p>
          <w:p>
            <w:pPr>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10、负责生产过程中混凝土技术资料的整理、归档工作；</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工作职责分配明确</w:t>
            </w:r>
          </w:p>
        </w:tc>
        <w:tc>
          <w:tcPr>
            <w:tcW w:w="637" w:type="dxa"/>
          </w:tcPr>
          <w:p>
            <w:pPr>
              <w:rPr>
                <w:rFonts w:hint="eastAsia"/>
                <w:sz w:val="24"/>
                <w:szCs w:val="24"/>
                <w:lang w:val="en-US" w:eastAsia="zh-CN"/>
              </w:rPr>
            </w:pPr>
          </w:p>
          <w:p>
            <w:pPr>
              <w:rPr>
                <w:rFonts w:hint="eastAsia"/>
                <w:sz w:val="24"/>
                <w:szCs w:val="24"/>
                <w:lang w:val="en-US" w:eastAsia="zh-CN"/>
              </w:rPr>
            </w:pPr>
          </w:p>
          <w:p>
            <w:pPr>
              <w:pStyle w:val="13"/>
              <w:rPr>
                <w:rFonts w:hint="eastAsia"/>
                <w:sz w:val="24"/>
                <w:szCs w:val="24"/>
                <w:lang w:val="en-US" w:eastAsia="zh-CN"/>
              </w:rPr>
            </w:pPr>
          </w:p>
          <w:p>
            <w:pPr>
              <w:pStyle w:val="13"/>
              <w:rPr>
                <w:rFonts w:hint="eastAsia"/>
                <w:sz w:val="24"/>
                <w:szCs w:val="24"/>
                <w:lang w:val="en-US" w:eastAsia="zh-CN"/>
              </w:rPr>
            </w:pPr>
          </w:p>
          <w:p>
            <w:pPr>
              <w:pStyle w:val="13"/>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160" w:type="dxa"/>
          </w:tcPr>
          <w:p>
            <w:pPr>
              <w:rPr>
                <w:rFonts w:hint="eastAsia"/>
                <w:sz w:val="24"/>
                <w:szCs w:val="24"/>
                <w:lang w:val="en-US" w:eastAsia="zh-CN"/>
              </w:rPr>
            </w:pPr>
            <w:r>
              <w:rPr>
                <w:rFonts w:hint="eastAsia"/>
                <w:sz w:val="24"/>
                <w:szCs w:val="24"/>
                <w:lang w:val="en-US" w:eastAsia="zh-CN"/>
              </w:rPr>
              <w:t>能源管理目标及实现情况</w:t>
            </w:r>
          </w:p>
        </w:tc>
        <w:tc>
          <w:tcPr>
            <w:tcW w:w="960" w:type="dxa"/>
          </w:tcPr>
          <w:p>
            <w:pPr>
              <w:rPr>
                <w:rFonts w:hint="eastAsia"/>
                <w:sz w:val="24"/>
                <w:szCs w:val="24"/>
                <w:lang w:val="en-US" w:eastAsia="zh-CN"/>
              </w:rPr>
            </w:pPr>
            <w:r>
              <w:rPr>
                <w:rFonts w:hint="eastAsia"/>
                <w:sz w:val="24"/>
                <w:szCs w:val="24"/>
                <w:lang w:val="en-US" w:eastAsia="zh-CN"/>
              </w:rPr>
              <w:t>6.2</w:t>
            </w:r>
          </w:p>
        </w:tc>
        <w:tc>
          <w:tcPr>
            <w:tcW w:w="10952" w:type="dxa"/>
          </w:tcPr>
          <w:p>
            <w:pPr>
              <w:rPr>
                <w:rFonts w:hint="default"/>
                <w:sz w:val="24"/>
                <w:szCs w:val="24"/>
                <w:lang w:val="en-US" w:eastAsia="zh-CN"/>
              </w:rPr>
            </w:pPr>
            <w:r>
              <w:rPr>
                <w:rFonts w:hint="eastAsia"/>
                <w:sz w:val="24"/>
                <w:szCs w:val="24"/>
                <w:lang w:val="en-US" w:eastAsia="zh-CN"/>
              </w:rPr>
              <w:t>技术部能源没有分解本部门的能源目标，执行公司的总目标</w:t>
            </w:r>
          </w:p>
          <w:p>
            <w:pPr>
              <w:rPr>
                <w:rFonts w:hint="eastAsia"/>
                <w:sz w:val="24"/>
                <w:szCs w:val="24"/>
                <w:lang w:val="en-US" w:eastAsia="zh-CN"/>
              </w:rPr>
            </w:pPr>
            <w:r>
              <w:rPr>
                <w:rFonts w:hint="eastAsia"/>
                <w:sz w:val="24"/>
                <w:szCs w:val="24"/>
                <w:lang w:val="en-US" w:eastAsia="zh-CN"/>
              </w:rPr>
              <w:t>2021年的目标：混凝土单位产品能耗≦0.87kgce/m³</w:t>
            </w:r>
          </w:p>
          <w:p>
            <w:pPr>
              <w:rPr>
                <w:rFonts w:hint="eastAsia"/>
                <w:sz w:val="24"/>
                <w:szCs w:val="24"/>
                <w:lang w:val="en-US" w:eastAsia="zh-CN"/>
              </w:rPr>
            </w:pPr>
            <w:r>
              <w:rPr>
                <w:rFonts w:hint="eastAsia"/>
                <w:sz w:val="24"/>
                <w:szCs w:val="24"/>
                <w:lang w:val="en-US" w:eastAsia="zh-CN"/>
              </w:rPr>
              <w:t xml:space="preserve">               砂浆单位产品能耗≦1.45kgce/t</w:t>
            </w:r>
          </w:p>
          <w:p>
            <w:pPr>
              <w:rPr>
                <w:rFonts w:hint="eastAsia"/>
                <w:sz w:val="24"/>
                <w:szCs w:val="24"/>
                <w:lang w:val="en-US" w:eastAsia="zh-CN"/>
              </w:rPr>
            </w:pPr>
            <w:r>
              <w:rPr>
                <w:rFonts w:hint="eastAsia"/>
                <w:sz w:val="24"/>
                <w:szCs w:val="24"/>
                <w:lang w:val="en-US" w:eastAsia="zh-CN"/>
              </w:rPr>
              <w:t>2021年实际完成-混凝土单位产品能耗0.83kgce/m³</w:t>
            </w:r>
          </w:p>
          <w:p>
            <w:pPr>
              <w:rPr>
                <w:rFonts w:hint="eastAsia"/>
                <w:sz w:val="24"/>
                <w:szCs w:val="24"/>
                <w:lang w:val="en-US" w:eastAsia="zh-CN"/>
              </w:rPr>
            </w:pPr>
            <w:r>
              <w:rPr>
                <w:rFonts w:hint="eastAsia"/>
                <w:sz w:val="24"/>
                <w:szCs w:val="24"/>
                <w:lang w:val="en-US" w:eastAsia="zh-CN"/>
              </w:rPr>
              <w:t xml:space="preserve">               砂浆单位产品能耗0.51kgce/t</w:t>
            </w:r>
          </w:p>
          <w:p>
            <w:pPr>
              <w:rPr>
                <w:rFonts w:hint="eastAsia"/>
                <w:sz w:val="24"/>
                <w:szCs w:val="24"/>
                <w:lang w:val="en-US" w:eastAsia="zh-CN"/>
              </w:rPr>
            </w:pPr>
            <w:r>
              <w:rPr>
                <w:rFonts w:hint="eastAsia"/>
                <w:sz w:val="24"/>
                <w:szCs w:val="24"/>
                <w:lang w:val="en-US" w:eastAsia="zh-CN"/>
              </w:rPr>
              <w:t>2021年完成了目标；</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2022年目标-混凝土单位产品能耗≦0.83kgce/m³</w:t>
            </w:r>
          </w:p>
          <w:p>
            <w:pPr>
              <w:rPr>
                <w:rFonts w:hint="eastAsia"/>
                <w:sz w:val="24"/>
                <w:szCs w:val="24"/>
                <w:lang w:val="en-US" w:eastAsia="zh-CN"/>
              </w:rPr>
            </w:pPr>
            <w:r>
              <w:rPr>
                <w:rFonts w:hint="eastAsia"/>
                <w:sz w:val="24"/>
                <w:szCs w:val="24"/>
                <w:lang w:val="en-US" w:eastAsia="zh-CN"/>
              </w:rPr>
              <w:t xml:space="preserve">            砂浆单位产品能耗≦0.51kgce/t</w:t>
            </w:r>
          </w:p>
          <w:p>
            <w:pPr>
              <w:rPr>
                <w:rFonts w:hint="eastAsia"/>
                <w:sz w:val="24"/>
                <w:szCs w:val="24"/>
                <w:lang w:val="en-US" w:eastAsia="zh-CN"/>
              </w:rPr>
            </w:pPr>
            <w:r>
              <w:rPr>
                <w:rFonts w:hint="eastAsia"/>
                <w:sz w:val="24"/>
                <w:szCs w:val="24"/>
                <w:lang w:val="en-US" w:eastAsia="zh-CN"/>
              </w:rPr>
              <w:t>2022年1-7月份实际完成情况：混凝土单位产品能耗0.93kgce/m³</w:t>
            </w:r>
          </w:p>
          <w:p>
            <w:pPr>
              <w:rPr>
                <w:rFonts w:hint="eastAsia"/>
                <w:sz w:val="24"/>
                <w:szCs w:val="24"/>
                <w:lang w:val="en-US" w:eastAsia="zh-CN"/>
              </w:rPr>
            </w:pPr>
            <w:r>
              <w:rPr>
                <w:rFonts w:hint="eastAsia"/>
                <w:sz w:val="24"/>
                <w:szCs w:val="24"/>
                <w:lang w:val="en-US" w:eastAsia="zh-CN"/>
              </w:rPr>
              <w:t xml:space="preserve">                            砂浆单位产品能耗0.396kgce/t</w:t>
            </w:r>
          </w:p>
          <w:p>
            <w:pPr>
              <w:rPr>
                <w:rFonts w:hint="default"/>
                <w:sz w:val="24"/>
                <w:szCs w:val="24"/>
                <w:lang w:val="en-US" w:eastAsia="zh-CN"/>
              </w:rPr>
            </w:pPr>
            <w:r>
              <w:rPr>
                <w:rFonts w:hint="eastAsia"/>
                <w:sz w:val="24"/>
                <w:szCs w:val="24"/>
                <w:lang w:val="en-US" w:eastAsia="zh-CN"/>
              </w:rPr>
              <w:t>混凝土没有完成目标、砂浆完成来了目标。</w:t>
            </w:r>
          </w:p>
        </w:tc>
        <w:tc>
          <w:tcPr>
            <w:tcW w:w="637" w:type="dxa"/>
          </w:tcPr>
          <w:p>
            <w:pPr>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 w:val="24"/>
                <w:szCs w:val="24"/>
                <w:lang w:val="en-US" w:eastAsia="zh-CN"/>
              </w:rPr>
            </w:pPr>
            <w:r>
              <w:rPr>
                <w:rFonts w:hint="eastAsia"/>
                <w:sz w:val="24"/>
                <w:szCs w:val="24"/>
                <w:lang w:val="en-US" w:eastAsia="zh-CN"/>
              </w:rPr>
              <w:t>信息交流；</w:t>
            </w:r>
          </w:p>
        </w:tc>
        <w:tc>
          <w:tcPr>
            <w:tcW w:w="960" w:type="dxa"/>
          </w:tcPr>
          <w:p>
            <w:pPr>
              <w:rPr>
                <w:rFonts w:hint="default"/>
                <w:sz w:val="24"/>
                <w:szCs w:val="24"/>
                <w:lang w:val="en-US" w:eastAsia="zh-CN"/>
              </w:rPr>
            </w:pPr>
            <w:r>
              <w:rPr>
                <w:rFonts w:hint="eastAsia"/>
                <w:sz w:val="24"/>
                <w:szCs w:val="24"/>
                <w:lang w:val="en-US" w:eastAsia="zh-CN"/>
              </w:rPr>
              <w:t>7.4</w:t>
            </w:r>
          </w:p>
        </w:tc>
        <w:tc>
          <w:tcPr>
            <w:tcW w:w="10952" w:type="dxa"/>
          </w:tcPr>
          <w:p>
            <w:pPr>
              <w:rPr>
                <w:rFonts w:hint="eastAsia"/>
                <w:sz w:val="24"/>
                <w:szCs w:val="24"/>
                <w:lang w:val="en-US" w:eastAsia="zh-CN"/>
              </w:rPr>
            </w:pPr>
            <w:r>
              <w:rPr>
                <w:rFonts w:hint="eastAsia"/>
                <w:sz w:val="24"/>
                <w:szCs w:val="24"/>
                <w:lang w:val="en-US" w:eastAsia="zh-CN"/>
              </w:rPr>
              <w:t>技术部对能源基准、能源绩效参数、能源目标指标在员工所在岗位及相应层次进行内部沟通，尤其是当能源绩效纳入企业考核机制时，对考核的过程及结果应予以内部沟通。沟通的形式包括各种会议、公告栏、简报、意见箱、网络。</w:t>
            </w:r>
          </w:p>
          <w:p>
            <w:pPr>
              <w:rPr>
                <w:rFonts w:hint="eastAsia"/>
                <w:sz w:val="24"/>
                <w:szCs w:val="24"/>
                <w:lang w:val="en-US" w:eastAsia="zh-CN"/>
              </w:rPr>
            </w:pPr>
            <w:r>
              <w:rPr>
                <w:rFonts w:hint="eastAsia"/>
                <w:sz w:val="24"/>
                <w:szCs w:val="24"/>
                <w:lang w:val="en-US" w:eastAsia="zh-CN"/>
              </w:rPr>
              <w:t>技术部负责外部交流工作。技术部负责向当地政府能源主管部门上报能源方面数据，财务管理部向股东方等相关方以报表、报告、网络报送等形式方式予以实施。</w:t>
            </w:r>
          </w:p>
          <w:p>
            <w:pPr>
              <w:rPr>
                <w:rFonts w:hint="eastAsia"/>
                <w:sz w:val="24"/>
                <w:szCs w:val="24"/>
                <w:lang w:val="en-US" w:eastAsia="zh-CN"/>
              </w:rPr>
            </w:pPr>
            <w:r>
              <w:rPr>
                <w:rFonts w:hint="eastAsia"/>
                <w:sz w:val="24"/>
                <w:szCs w:val="24"/>
                <w:lang w:val="en-US" w:eastAsia="zh-CN"/>
              </w:rPr>
              <w:t>负责收集、传递企业能源信息、开展能源体系的策划、实施、监督、检查。参加行业协会组织的能效对标活动，进行节能工作经验交流，推广现代化节能管理方法、节能技术改造和行之有效的节能措施。”</w:t>
            </w:r>
          </w:p>
        </w:tc>
        <w:tc>
          <w:tcPr>
            <w:tcW w:w="6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sz w:val="24"/>
                <w:szCs w:val="24"/>
                <w:lang w:val="en-US" w:eastAsia="zh-CN"/>
              </w:rPr>
            </w:pPr>
            <w:r>
              <w:rPr>
                <w:rFonts w:hint="eastAsia"/>
                <w:sz w:val="24"/>
                <w:szCs w:val="24"/>
                <w:lang w:val="en-US" w:eastAsia="zh-CN"/>
              </w:rPr>
              <w:t>设计</w:t>
            </w:r>
          </w:p>
        </w:tc>
        <w:tc>
          <w:tcPr>
            <w:tcW w:w="960" w:type="dxa"/>
          </w:tcPr>
          <w:p>
            <w:pPr>
              <w:rPr>
                <w:rFonts w:hint="default"/>
                <w:sz w:val="24"/>
                <w:szCs w:val="24"/>
                <w:lang w:val="en-US" w:eastAsia="zh-CN"/>
              </w:rPr>
            </w:pPr>
            <w:r>
              <w:rPr>
                <w:rFonts w:hint="eastAsia"/>
                <w:sz w:val="24"/>
                <w:szCs w:val="24"/>
                <w:lang w:val="en-US" w:eastAsia="zh-CN"/>
              </w:rPr>
              <w:t>8.2</w:t>
            </w:r>
          </w:p>
        </w:tc>
        <w:tc>
          <w:tcPr>
            <w:tcW w:w="10952"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执行《设计控制程序》，通过对新、改、扩建项目的设计中出现的影响能源绩效较为显著的设施、设备、系统和过程及新产品或产品改进的设计全过程进行控制，确保设计能符合预期要求，同时降低能源消耗、提高能源效率、提高能源绩效，保证设计的全过程满足顾客和有关法律、法规、标准的要求。</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抽查设计开发资料：</w:t>
            </w:r>
          </w:p>
          <w:p>
            <w:pPr>
              <w:rPr>
                <w:rFonts w:hint="default" w:ascii="Times New Roman" w:hAnsi="Times New Roman" w:eastAsia="宋体" w:cs="Times New Roman"/>
                <w:sz w:val="24"/>
                <w:szCs w:val="24"/>
                <w:lang w:val="en-US" w:eastAsia="zh-CN"/>
              </w:rPr>
            </w:pPr>
          </w:p>
          <w:p>
            <w:pPr>
              <w:rPr>
                <w:rFonts w:hint="default" w:ascii="Times New Roman" w:hAnsi="Times New Roman" w:eastAsia="宋体" w:cs="Times New Roman"/>
                <w:color w:val="0000FF"/>
                <w:sz w:val="24"/>
                <w:szCs w:val="24"/>
                <w:lang w:val="en-US" w:eastAsia="zh-CN"/>
              </w:rPr>
            </w:pPr>
            <w:r>
              <w:rPr>
                <w:rFonts w:hint="eastAsia" w:cs="Times New Roman"/>
                <w:color w:val="0000FF"/>
                <w:sz w:val="24"/>
                <w:szCs w:val="24"/>
                <w:lang w:val="en-US" w:eastAsia="zh-CN"/>
              </w:rPr>
              <w:t>经询查，该公司2021年以来没有技改项目以及新开工的项目。</w:t>
            </w:r>
          </w:p>
          <w:p>
            <w:pPr>
              <w:rPr>
                <w:rFonts w:hint="default" w:ascii="Times New Roman" w:hAnsi="Times New Roman" w:eastAsia="宋体" w:cs="Times New Roman"/>
                <w:sz w:val="24"/>
                <w:szCs w:val="24"/>
                <w:lang w:val="en-US" w:eastAsia="zh-CN"/>
              </w:rPr>
            </w:pPr>
          </w:p>
        </w:tc>
        <w:tc>
          <w:tcPr>
            <w:tcW w:w="637" w:type="dxa"/>
          </w:tcPr>
          <w:p>
            <w:pPr>
              <w:rPr>
                <w:rFonts w:hint="eastAsia"/>
                <w:lang w:val="en-US" w:eastAsia="zh-CN"/>
              </w:rPr>
            </w:pPr>
          </w:p>
          <w:p>
            <w:pPr>
              <w:pStyle w:val="13"/>
              <w:rPr>
                <w:rFonts w:hint="eastAsia"/>
                <w:lang w:val="en-US" w:eastAsia="zh-CN"/>
              </w:rPr>
            </w:pPr>
          </w:p>
          <w:p>
            <w:pPr>
              <w:pStyle w:val="13"/>
              <w:rPr>
                <w:rFonts w:hint="eastAsia"/>
                <w:lang w:val="en-US" w:eastAsia="zh-CN"/>
              </w:rPr>
            </w:pPr>
          </w:p>
          <w:p>
            <w:pPr>
              <w:pStyle w:val="2"/>
              <w:rPr>
                <w:rFonts w:hint="default"/>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 w:val="24"/>
                <w:szCs w:val="24"/>
                <w:lang w:val="en-US" w:eastAsia="zh-CN"/>
              </w:rPr>
            </w:pPr>
            <w:r>
              <w:rPr>
                <w:rFonts w:hint="eastAsia"/>
                <w:sz w:val="24"/>
                <w:szCs w:val="24"/>
                <w:lang w:val="en-US" w:eastAsia="zh-CN"/>
              </w:rPr>
              <w:t>内部审核</w:t>
            </w:r>
          </w:p>
        </w:tc>
        <w:tc>
          <w:tcPr>
            <w:tcW w:w="960" w:type="dxa"/>
          </w:tcPr>
          <w:p>
            <w:pPr>
              <w:rPr>
                <w:rFonts w:hint="eastAsia"/>
                <w:sz w:val="24"/>
                <w:szCs w:val="24"/>
                <w:lang w:val="en-US" w:eastAsia="zh-CN"/>
              </w:rPr>
            </w:pPr>
            <w:r>
              <w:rPr>
                <w:rFonts w:hint="eastAsia"/>
                <w:sz w:val="24"/>
                <w:szCs w:val="24"/>
                <w:lang w:val="en-US" w:eastAsia="zh-CN"/>
              </w:rPr>
              <w:t>9.2</w:t>
            </w:r>
          </w:p>
        </w:tc>
        <w:tc>
          <w:tcPr>
            <w:tcW w:w="10952"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提供《HXSJ-EnMS-P11内部审核控制程序》，有编审批，符合标准要求与企业实际。</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2、提供有“内审计划”，公司与202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年</w:t>
            </w:r>
            <w:r>
              <w:rPr>
                <w:rFonts w:hint="eastAsia" w:eastAsia="宋体" w:cs="Times New Roman"/>
                <w:sz w:val="24"/>
                <w:szCs w:val="24"/>
                <w:lang w:val="en-US" w:eastAsia="zh-CN"/>
              </w:rPr>
              <w:t>7</w:t>
            </w:r>
            <w:r>
              <w:rPr>
                <w:rFonts w:hint="eastAsia" w:ascii="Times New Roman" w:hAnsi="Times New Roman" w:eastAsia="宋体" w:cs="Times New Roman"/>
                <w:sz w:val="24"/>
                <w:szCs w:val="24"/>
                <w:lang w:val="en-US" w:eastAsia="zh-CN"/>
              </w:rPr>
              <w:t>月</w:t>
            </w:r>
            <w:r>
              <w:rPr>
                <w:rFonts w:hint="eastAsia" w:eastAsia="宋体" w:cs="Times New Roman"/>
                <w:sz w:val="24"/>
                <w:szCs w:val="24"/>
                <w:lang w:val="en-US" w:eastAsia="zh-CN"/>
              </w:rPr>
              <w:t>20</w:t>
            </w:r>
            <w:r>
              <w:rPr>
                <w:rFonts w:hint="eastAsia"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lang w:val="en-US" w:eastAsia="zh-CN"/>
              </w:rPr>
              <w:t>进行了一次能源管理体系的内审。</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审核依据：ISO50001:2018《能源管理体系 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法律法规、标准和其他要求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能源管理手册、能源程序文件及文件、记录等。</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审核目的：评价公司能源管理体系运行的符合性、有效性，为管理评审提供输入；确定是否符合外部审核的条件。</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审核范围: </w:t>
            </w:r>
            <w:r>
              <w:rPr>
                <w:rFonts w:hint="eastAsia" w:ascii="Times New Roman" w:hAnsi="Times New Roman" w:eastAsia="宋体" w:cs="Times New Roman"/>
                <w:sz w:val="24"/>
                <w:szCs w:val="24"/>
                <w:lang w:val="en-US" w:eastAsia="zh-CN"/>
              </w:rPr>
              <w:t>混凝土、砂浆生产</w:t>
            </w:r>
            <w:r>
              <w:rPr>
                <w:rFonts w:hint="default" w:ascii="Times New Roman" w:hAnsi="Times New Roman" w:eastAsia="宋体" w:cs="Times New Roman"/>
                <w:sz w:val="24"/>
                <w:szCs w:val="24"/>
                <w:lang w:val="en-US" w:eastAsia="zh-CN"/>
              </w:rPr>
              <w:t>所涉及的能源管理活动</w:t>
            </w:r>
            <w:r>
              <w:rPr>
                <w:rFonts w:hint="eastAsia" w:ascii="Times New Roman" w:hAnsi="Times New Roman" w:eastAsia="宋体" w:cs="Times New Roman"/>
                <w:sz w:val="24"/>
                <w:szCs w:val="24"/>
                <w:lang w:val="en-US" w:eastAsia="zh-CN"/>
              </w:rPr>
              <w:t>。</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审核组成员：组长：</w:t>
            </w:r>
            <w:r>
              <w:rPr>
                <w:rFonts w:hint="eastAsia" w:ascii="Times New Roman" w:hAnsi="Times New Roman" w:eastAsia="宋体" w:cs="Times New Roman"/>
                <w:sz w:val="24"/>
                <w:szCs w:val="24"/>
                <w:lang w:val="en-US" w:eastAsia="zh-CN"/>
              </w:rPr>
              <w:t>云英，</w:t>
            </w:r>
            <w:r>
              <w:rPr>
                <w:rFonts w:hint="default" w:ascii="Times New Roman" w:hAnsi="Times New Roman" w:eastAsia="宋体" w:cs="Times New Roman"/>
                <w:sz w:val="24"/>
                <w:szCs w:val="24"/>
                <w:lang w:val="en-US" w:eastAsia="zh-CN"/>
              </w:rPr>
              <w:t>组员：</w:t>
            </w:r>
            <w:r>
              <w:rPr>
                <w:rFonts w:hint="eastAsia"/>
                <w:sz w:val="24"/>
                <w:szCs w:val="24"/>
                <w:lang w:val="en-US" w:eastAsia="zh-CN"/>
              </w:rPr>
              <w:t>杨建青</w:t>
            </w:r>
            <w:r>
              <w:rPr>
                <w:rFonts w:hint="default" w:ascii="Times New Roman" w:hAnsi="Times New Roman" w:eastAsia="宋体" w:cs="Times New Roman"/>
                <w:sz w:val="24"/>
                <w:szCs w:val="24"/>
                <w:lang w:val="en-US" w:eastAsia="zh-CN"/>
              </w:rPr>
              <w:t>。内审员均经过内审员培训。</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提供</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记录编号：</w:t>
            </w:r>
            <w:r>
              <w:rPr>
                <w:rFonts w:hint="eastAsia" w:eastAsia="宋体" w:cs="Times New Roman"/>
                <w:sz w:val="24"/>
                <w:szCs w:val="24"/>
                <w:lang w:val="en-US" w:eastAsia="zh-CN"/>
              </w:rPr>
              <w:t>HXSJ</w:t>
            </w:r>
            <w:r>
              <w:rPr>
                <w:rFonts w:hint="default" w:ascii="Times New Roman" w:hAnsi="Times New Roman" w:eastAsia="宋体" w:cs="Times New Roman"/>
                <w:sz w:val="24"/>
                <w:szCs w:val="24"/>
                <w:lang w:val="en-US" w:eastAsia="zh-CN"/>
              </w:rPr>
              <w:t>/JL-7.4-01</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会议签到表：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object>
                <v:shape id="_x0000_i1025" o:spt="75" type="#_x0000_t75" style="height:0.15pt;width:0.15pt;" o:ole="t" filled="f" o:preferrelative="t" stroked="f" coordsize="21600,21600">
                  <v:path/>
                  <v:fill on="f" focussize="0,0"/>
                  <v:stroke on="f"/>
                  <v:imagedata r:id="rId7" o:title=""/>
                  <o:lock v:ext="edit" aspectratio="t"/>
                  <w10:wrap type="none"/>
                  <w10:anchorlock/>
                </v:shape>
                <o:OLEObject Type="Embed" ProgID="FoxitReader.Document" ShapeID="_x0000_i1025" DrawAspect="Content" ObjectID="_1468075725" r:id="rId6">
                  <o:LockedField>false</o:LockedField>
                </o:OLEObject>
              </w:object>
            </w:r>
            <w:r>
              <w:rPr>
                <w:rFonts w:hint="eastAsia" w:ascii="Times New Roman" w:hAnsi="Times New Roman" w:eastAsia="宋体" w:cs="Times New Roman"/>
                <w:sz w:val="24"/>
                <w:szCs w:val="24"/>
                <w:lang w:val="en-US" w:eastAsia="zh-CN"/>
              </w:rPr>
              <w:object>
                <v:shape id="_x0000_i1026" o:spt="75" type="#_x0000_t75" style="height:0.15pt;width:0.15pt;" o:ole="t" filled="f" o:preferrelative="t" stroked="f" coordsize="21600,21600">
                  <v:path/>
                  <v:fill on="f" focussize="0,0"/>
                  <v:stroke on="f"/>
                  <v:imagedata r:id="rId7" o:title=""/>
                  <o:lock v:ext="edit" aspectratio="t"/>
                  <w10:wrap type="none"/>
                  <w10:anchorlock/>
                </v:shape>
                <o:OLEObject Type="Embed" ProgID="FoxitReader.Document" ShapeID="_x0000_i1026" DrawAspect="Content" ObjectID="_1468075726" r:id="rId8">
                  <o:LockedField>false</o:LockedField>
                </o:OLEObject>
              </w:object>
            </w:r>
            <w:r>
              <w:rPr>
                <w:rFonts w:hint="eastAsia" w:ascii="Times New Roman" w:hAnsi="Times New Roman" w:eastAsia="宋体" w:cs="Times New Roman"/>
                <w:sz w:val="24"/>
                <w:szCs w:val="24"/>
                <w:lang w:val="en-US" w:eastAsia="zh-CN"/>
              </w:rPr>
              <w:object>
                <v:shape id="_x0000_i1027" o:spt="75" type="#_x0000_t75" style="height:0.15pt;width:0.15pt;" o:ole="t" filled="f" o:preferrelative="t" stroked="f" coordsize="21600,21600">
                  <v:path/>
                  <v:fill on="f" focussize="0,0"/>
                  <v:stroke on="f"/>
                  <v:imagedata r:id="rId7" o:title=""/>
                  <o:lock v:ext="edit" aspectratio="t"/>
                  <w10:wrap type="none"/>
                  <w10:anchorlock/>
                </v:shape>
                <o:OLEObject Type="Embed" ProgID="FoxitReader.Document" ShapeID="_x0000_i1027" DrawAspect="Content" ObjectID="_1468075727" r:id="rId9">
                  <o:LockedField>false</o:LockedField>
                </o:OLEObject>
              </w:objec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提供“内审检查表”，抽查对</w:t>
            </w:r>
            <w:r>
              <w:rPr>
                <w:rFonts w:hint="eastAsia" w:ascii="Times New Roman" w:hAnsi="Times New Roman" w:eastAsia="宋体" w:cs="Times New Roman"/>
                <w:sz w:val="24"/>
                <w:szCs w:val="24"/>
                <w:lang w:val="en-US" w:eastAsia="zh-CN"/>
              </w:rPr>
              <w:t>领导层</w:t>
            </w:r>
            <w:r>
              <w:rPr>
                <w:rFonts w:hint="default" w:ascii="Times New Roman" w:hAnsi="Times New Roman" w:eastAsia="宋体" w:cs="Times New Roman"/>
                <w:sz w:val="24"/>
                <w:szCs w:val="24"/>
                <w:lang w:val="en-US" w:eastAsia="zh-CN"/>
              </w:rPr>
              <w:t>的审核，</w:t>
            </w:r>
            <w:r>
              <w:rPr>
                <w:rFonts w:hint="eastAsia" w:ascii="Times New Roman" w:hAnsi="Times New Roman" w:eastAsia="宋体" w:cs="Times New Roman"/>
                <w:sz w:val="24"/>
                <w:szCs w:val="24"/>
                <w:lang w:val="en-US" w:eastAsia="zh-CN"/>
              </w:rPr>
              <w:t>内审员：</w:t>
            </w:r>
            <w:r>
              <w:rPr>
                <w:rFonts w:hint="eastAsia"/>
                <w:sz w:val="24"/>
                <w:szCs w:val="24"/>
                <w:lang w:val="en-US" w:eastAsia="zh-CN"/>
              </w:rPr>
              <w:t>杨建青</w:t>
            </w:r>
            <w:r>
              <w:rPr>
                <w:rFonts w:hint="eastAsia" w:ascii="Times New Roman" w:hAnsi="Times New Roman" w:eastAsia="宋体" w:cs="Times New Roman"/>
                <w:sz w:val="24"/>
                <w:szCs w:val="24"/>
                <w:lang w:val="en-US" w:eastAsia="zh-CN"/>
              </w:rPr>
              <w:tab/>
            </w:r>
            <w:r>
              <w:rPr>
                <w:rFonts w:hint="eastAsia" w:ascii="Times New Roman" w:hAnsi="Times New Roman" w:eastAsia="宋体" w:cs="Times New Roman"/>
                <w:sz w:val="24"/>
                <w:szCs w:val="24"/>
                <w:lang w:val="en-US" w:eastAsia="zh-CN"/>
              </w:rPr>
              <w:t>2022.7.20，9：30-10：30，审核条款：4.1、4.2、4.3、4.4、5.1、5.2、5.3、9.2、9.3、9.1.2、10.1、10.2。法律法规地位和有关资质证明，法规符合性确认；</w:t>
            </w:r>
            <w:r>
              <w:rPr>
                <w:rFonts w:hint="default" w:ascii="Times New Roman" w:hAnsi="Times New Roman" w:eastAsia="宋体" w:cs="Times New Roman"/>
                <w:sz w:val="24"/>
                <w:szCs w:val="24"/>
                <w:lang w:val="en-US" w:eastAsia="zh-CN"/>
              </w:rPr>
              <w:t>按照审核计划条款进行审核，基本符合标准要求。</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内部审核发现1个不符合项，</w:t>
            </w:r>
            <w:r>
              <w:rPr>
                <w:rFonts w:hint="eastAsia" w:ascii="Times New Roman" w:hAnsi="Times New Roman" w:eastAsia="宋体" w:cs="Times New Roman"/>
                <w:sz w:val="24"/>
                <w:szCs w:val="24"/>
                <w:lang w:val="en-US" w:eastAsia="zh-CN"/>
              </w:rPr>
              <w:t>开在生产部，不符合事实：提供的数据搜集计划未覆盖</w:t>
            </w:r>
            <w:r>
              <w:rPr>
                <w:rFonts w:hint="eastAsia" w:eastAsia="宋体" w:cs="Times New Roman"/>
                <w:sz w:val="24"/>
                <w:szCs w:val="24"/>
                <w:lang w:val="en-US" w:eastAsia="zh-CN"/>
              </w:rPr>
              <w:t>办公室用电</w:t>
            </w:r>
            <w:r>
              <w:rPr>
                <w:rFonts w:hint="eastAsia" w:ascii="Times New Roman" w:hAnsi="Times New Roman" w:eastAsia="宋体" w:cs="Times New Roman"/>
                <w:sz w:val="24"/>
                <w:szCs w:val="24"/>
                <w:lang w:val="en-US" w:eastAsia="zh-CN"/>
              </w:rPr>
              <w:t>。不符合GB/T23331-2020标准6.6。</w:t>
            </w:r>
            <w:r>
              <w:rPr>
                <w:rFonts w:hint="default" w:ascii="Times New Roman" w:hAnsi="Times New Roman" w:eastAsia="宋体" w:cs="Times New Roman"/>
                <w:sz w:val="24"/>
                <w:szCs w:val="24"/>
                <w:lang w:val="en-US" w:eastAsia="zh-CN"/>
              </w:rPr>
              <w:t>通过</w:t>
            </w:r>
            <w:r>
              <w:rPr>
                <w:rFonts w:hint="eastAsia" w:ascii="Times New Roman" w:hAnsi="Times New Roman" w:eastAsia="宋体" w:cs="Times New Roman"/>
                <w:sz w:val="24"/>
                <w:szCs w:val="24"/>
                <w:lang w:val="en-US" w:eastAsia="zh-CN"/>
              </w:rPr>
              <w:t>原因分析、纠正措施、</w:t>
            </w:r>
            <w:r>
              <w:rPr>
                <w:rFonts w:hint="default" w:ascii="Times New Roman" w:hAnsi="Times New Roman" w:eastAsia="宋体" w:cs="Times New Roman"/>
                <w:sz w:val="24"/>
                <w:szCs w:val="24"/>
                <w:lang w:val="en-US" w:eastAsia="zh-CN"/>
              </w:rPr>
              <w:t>现场</w:t>
            </w:r>
            <w:r>
              <w:rPr>
                <w:rFonts w:hint="eastAsia" w:ascii="Times New Roman" w:hAnsi="Times New Roman" w:eastAsia="宋体" w:cs="Times New Roman"/>
                <w:sz w:val="24"/>
                <w:szCs w:val="24"/>
                <w:lang w:val="en-US" w:eastAsia="zh-CN"/>
              </w:rPr>
              <w:t>纠正措施验证</w:t>
            </w:r>
            <w:r>
              <w:rPr>
                <w:rFonts w:hint="default" w:ascii="Times New Roman" w:hAnsi="Times New Roman" w:eastAsia="宋体" w:cs="Times New Roman"/>
                <w:sz w:val="24"/>
                <w:szCs w:val="24"/>
                <w:lang w:val="en-US" w:eastAsia="zh-CN"/>
              </w:rPr>
              <w:t>的方式得到解决</w:t>
            </w:r>
            <w:r>
              <w:rPr>
                <w:rFonts w:hint="eastAsia" w:ascii="Times New Roman" w:hAnsi="Times New Roman" w:eastAsia="宋体" w:cs="Times New Roman"/>
                <w:sz w:val="24"/>
                <w:szCs w:val="24"/>
                <w:lang w:val="en-US" w:eastAsia="zh-CN"/>
              </w:rPr>
              <w:t>；并且提供“培训记录表”、“效果评价表”。基本符合标准要求。</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提供有“内审报告”，对体系的评价对能源管理体系的评价</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能源管理体系文件基本符合标准要求和公司管理现状；</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公司主要能源管理、控制基本有效，能源管理体系实施基本有效；</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预防措施采用较少，需进一步加强。就已审条款结果看，公司能源管理体系符合标准及相关文件的要求，能源管理体系得到了有效实施。</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、结论：公司能源管理体系运行符合标准要求，适宜公司现状，能源管理体系运行有效，ISO50001：2018标准相关要求在公司得到了有效的控制。</w:t>
            </w:r>
          </w:p>
        </w:tc>
        <w:tc>
          <w:tcPr>
            <w:tcW w:w="637" w:type="dxa"/>
          </w:tcPr>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y</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52"/>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52"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生产部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 xml:space="preserve">李朝金  </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陪同人员：</w:t>
            </w:r>
            <w:r>
              <w:rPr>
                <w:rFonts w:hint="eastAsia"/>
                <w:sz w:val="24"/>
                <w:szCs w:val="24"/>
                <w:lang w:val="en-US" w:eastAsia="zh-CN"/>
              </w:rPr>
              <w:t>云英</w:t>
            </w:r>
          </w:p>
        </w:tc>
        <w:tc>
          <w:tcPr>
            <w:tcW w:w="73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5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周涛   </w:t>
            </w:r>
            <w:r>
              <w:rPr>
                <w:sz w:val="24"/>
                <w:szCs w:val="24"/>
              </w:rPr>
              <w:t xml:space="preserve">         </w:t>
            </w:r>
            <w:r>
              <w:rPr>
                <w:rFonts w:hint="eastAsia"/>
                <w:sz w:val="24"/>
                <w:szCs w:val="24"/>
              </w:rPr>
              <w:t>审核时间：</w:t>
            </w:r>
            <w:r>
              <w:rPr>
                <w:rFonts w:hint="eastAsia"/>
                <w:sz w:val="24"/>
                <w:szCs w:val="24"/>
                <w:lang w:val="en-US" w:eastAsia="zh-CN"/>
              </w:rPr>
              <w:t>2022.</w:t>
            </w:r>
            <w:r>
              <w:rPr>
                <w:rFonts w:hint="eastAsia"/>
                <w:sz w:val="24"/>
                <w:szCs w:val="24"/>
                <w:highlight w:val="none"/>
                <w:lang w:val="en-US" w:eastAsia="zh-CN"/>
              </w:rPr>
              <w:t>8.16</w:t>
            </w:r>
          </w:p>
        </w:tc>
        <w:tc>
          <w:tcPr>
            <w:tcW w:w="7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52" w:type="dxa"/>
            <w:vAlign w:val="center"/>
          </w:tcPr>
          <w:p>
            <w:pPr>
              <w:tabs>
                <w:tab w:val="left" w:pos="709"/>
              </w:tabs>
              <w:ind w:right="57" w:rightChars="0"/>
              <w:rPr>
                <w:rFonts w:hint="default"/>
                <w:sz w:val="24"/>
                <w:szCs w:val="24"/>
                <w:lang w:val="en-US"/>
              </w:rPr>
            </w:pPr>
            <w:r>
              <w:rPr>
                <w:rFonts w:hint="eastAsia"/>
                <w:sz w:val="24"/>
                <w:szCs w:val="24"/>
              </w:rPr>
              <w:t>审核条款：</w:t>
            </w:r>
            <w:r>
              <w:rPr>
                <w:rFonts w:hint="eastAsia" w:ascii="Times New Roman" w:hAnsi="Times New Roman" w:eastAsia="宋体" w:cs="Times New Roman"/>
                <w:bCs w:val="0"/>
                <w:spacing w:val="0"/>
                <w:kern w:val="2"/>
                <w:sz w:val="21"/>
                <w:szCs w:val="21"/>
                <w:lang w:val="en-US" w:eastAsia="zh-CN" w:bidi="ar-SA"/>
              </w:rPr>
              <w:t>En:5.3/6.2/6.3/6.4/6.5/6.6/8.1/</w:t>
            </w:r>
            <w:r>
              <w:rPr>
                <w:rFonts w:hint="eastAsia" w:cs="Times New Roman"/>
                <w:bCs w:val="0"/>
                <w:spacing w:val="0"/>
                <w:kern w:val="2"/>
                <w:sz w:val="21"/>
                <w:szCs w:val="21"/>
                <w:lang w:val="en-US" w:eastAsia="zh-CN" w:bidi="ar-SA"/>
              </w:rPr>
              <w:t>8.3/9.1.1/</w:t>
            </w:r>
            <w:r>
              <w:rPr>
                <w:rFonts w:hint="eastAsia" w:ascii="Times New Roman" w:hAnsi="Times New Roman" w:eastAsia="宋体" w:cs="Times New Roman"/>
                <w:bCs w:val="0"/>
                <w:spacing w:val="0"/>
                <w:kern w:val="2"/>
                <w:sz w:val="21"/>
                <w:szCs w:val="21"/>
                <w:lang w:val="en-US" w:eastAsia="zh-CN" w:bidi="ar-SA"/>
              </w:rPr>
              <w:t>9.1.</w:t>
            </w:r>
            <w:r>
              <w:rPr>
                <w:rFonts w:hint="eastAsia" w:cs="Times New Roman"/>
                <w:bCs w:val="0"/>
                <w:spacing w:val="0"/>
                <w:kern w:val="2"/>
                <w:sz w:val="21"/>
                <w:szCs w:val="21"/>
                <w:lang w:val="en-US" w:eastAsia="zh-CN" w:bidi="ar-SA"/>
              </w:rPr>
              <w:t>2</w:t>
            </w:r>
            <w:r>
              <w:rPr>
                <w:rFonts w:hint="eastAsia" w:ascii="Times New Roman" w:hAnsi="Times New Roman" w:eastAsia="宋体" w:cs="Times New Roman"/>
                <w:bCs w:val="0"/>
                <w:spacing w:val="0"/>
                <w:kern w:val="2"/>
                <w:sz w:val="21"/>
                <w:szCs w:val="21"/>
                <w:lang w:val="en-US" w:eastAsia="zh-CN" w:bidi="ar-SA"/>
              </w:rPr>
              <w:t>/10.1/</w:t>
            </w:r>
            <w:r>
              <w:rPr>
                <w:rFonts w:hint="eastAsia" w:cs="Times New Roman"/>
                <w:bCs w:val="0"/>
                <w:spacing w:val="0"/>
                <w:kern w:val="2"/>
                <w:sz w:val="21"/>
                <w:szCs w:val="21"/>
                <w:lang w:val="en-US" w:eastAsia="zh-CN" w:bidi="ar-SA"/>
              </w:rPr>
              <w:t>4.2</w:t>
            </w:r>
          </w:p>
        </w:tc>
        <w:tc>
          <w:tcPr>
            <w:tcW w:w="7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tcPr>
          <w:p>
            <w:pPr>
              <w:rPr>
                <w:rFonts w:hint="default"/>
                <w:sz w:val="24"/>
                <w:szCs w:val="24"/>
                <w:lang w:val="en-US" w:eastAsia="zh-CN"/>
              </w:rPr>
            </w:pPr>
            <w:r>
              <w:rPr>
                <w:rFonts w:hint="eastAsia"/>
                <w:sz w:val="24"/>
                <w:szCs w:val="24"/>
              </w:rPr>
              <w:t>组织的岗位、</w:t>
            </w:r>
            <w:r>
              <w:rPr>
                <w:rFonts w:hint="eastAsia"/>
                <w:sz w:val="24"/>
                <w:szCs w:val="24"/>
                <w:lang w:val="en-US" w:eastAsia="zh-CN"/>
              </w:rPr>
              <w:t>职责权限</w:t>
            </w:r>
          </w:p>
        </w:tc>
        <w:tc>
          <w:tcPr>
            <w:tcW w:w="960" w:type="dxa"/>
          </w:tcPr>
          <w:p>
            <w:pPr>
              <w:rPr>
                <w:rFonts w:hint="default"/>
                <w:sz w:val="24"/>
                <w:szCs w:val="24"/>
                <w:lang w:val="en-US" w:eastAsia="zh-CN"/>
              </w:rPr>
            </w:pPr>
            <w:r>
              <w:rPr>
                <w:rFonts w:hint="eastAsia"/>
                <w:sz w:val="24"/>
                <w:szCs w:val="24"/>
                <w:lang w:val="en-US" w:eastAsia="zh-CN"/>
              </w:rPr>
              <w:t>En5.3</w:t>
            </w:r>
          </w:p>
        </w:tc>
        <w:tc>
          <w:tcPr>
            <w:tcW w:w="10852" w:type="dxa"/>
          </w:tcPr>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生产部</w:t>
            </w:r>
            <w:r>
              <w:rPr>
                <w:rFonts w:hint="eastAsia" w:ascii="Times New Roman" w:hAnsi="Times New Roman" w:eastAsia="宋体" w:cs="Times New Roman"/>
                <w:sz w:val="24"/>
                <w:szCs w:val="24"/>
                <w:lang w:val="en-US" w:eastAsia="zh-CN"/>
              </w:rPr>
              <w:t>共18人。</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eastAsia" w:eastAsia="宋体" w:cs="Times New Roman"/>
                <w:sz w:val="24"/>
                <w:szCs w:val="24"/>
                <w:lang w:val="en-US" w:eastAsia="zh-CN"/>
              </w:rPr>
              <w:t>、</w:t>
            </w:r>
            <w:r>
              <w:rPr>
                <w:rFonts w:hint="eastAsia" w:ascii="Times New Roman" w:hAnsi="Times New Roman" w:eastAsia="宋体" w:cs="Times New Roman"/>
                <w:sz w:val="24"/>
                <w:szCs w:val="24"/>
                <w:lang w:val="en-US" w:eastAsia="zh-CN"/>
              </w:rPr>
              <w:t>负责能源计划的编制和安排，综合计划的编制，审批各类能源的采购、加工计划等。</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w:t>
            </w:r>
            <w:r>
              <w:rPr>
                <w:rFonts w:hint="eastAsia" w:ascii="Times New Roman" w:hAnsi="Times New Roman" w:eastAsia="宋体" w:cs="Times New Roman"/>
                <w:sz w:val="24"/>
                <w:szCs w:val="24"/>
                <w:lang w:val="en-US" w:eastAsia="zh-CN"/>
              </w:rPr>
              <w:t>负责能源运行指标完成情况的统计工作。</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3、</w:t>
            </w:r>
            <w:r>
              <w:rPr>
                <w:rFonts w:hint="eastAsia" w:ascii="Times New Roman" w:hAnsi="Times New Roman" w:eastAsia="宋体" w:cs="Times New Roman"/>
                <w:sz w:val="24"/>
                <w:szCs w:val="24"/>
                <w:lang w:val="en-US" w:eastAsia="zh-CN"/>
              </w:rPr>
              <w:t>负责公司各部门做好生产过程的能源控制和对能源过程能力的确认。</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合理公司生产调度，努力降低能源消耗和损失，提高能源利用率。</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w:t>
            </w:r>
            <w:r>
              <w:rPr>
                <w:rFonts w:hint="eastAsia" w:ascii="Times New Roman" w:hAnsi="Times New Roman" w:eastAsia="宋体" w:cs="Times New Roman"/>
                <w:sz w:val="24"/>
                <w:szCs w:val="24"/>
                <w:lang w:val="en-US" w:eastAsia="zh-CN"/>
              </w:rPr>
              <w:t>负责安全应急预案的编制和落实工作。</w:t>
            </w:r>
          </w:p>
          <w:p>
            <w:pPr>
              <w:rPr>
                <w:rFonts w:hint="eastAsia" w:ascii="Times New Roman" w:hAnsi="Times New Roman" w:eastAsia="宋体" w:cs="Times New Roman"/>
                <w:sz w:val="24"/>
                <w:szCs w:val="24"/>
                <w:lang w:val="en-US" w:eastAsia="zh-CN"/>
              </w:rPr>
            </w:pPr>
            <w:r>
              <w:rPr>
                <w:rFonts w:hint="eastAsia" w:eastAsia="宋体" w:cs="Times New Roman"/>
                <w:sz w:val="24"/>
                <w:szCs w:val="24"/>
                <w:lang w:val="en-US" w:eastAsia="zh-CN"/>
              </w:rPr>
              <w:t>6、</w:t>
            </w:r>
            <w:r>
              <w:rPr>
                <w:rFonts w:hint="eastAsia" w:ascii="Times New Roman" w:hAnsi="Times New Roman" w:eastAsia="宋体" w:cs="Times New Roman"/>
                <w:sz w:val="24"/>
                <w:szCs w:val="24"/>
                <w:lang w:val="en-US" w:eastAsia="zh-CN"/>
              </w:rPr>
              <w:t>负责公司确定、提供和维护为达到本公司节能技术的符合性所需要的基础设施。</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经理对职责基本明确清晰。</w:t>
            </w:r>
          </w:p>
        </w:tc>
        <w:tc>
          <w:tcPr>
            <w:tcW w:w="737" w:type="dxa"/>
          </w:tcPr>
          <w:p>
            <w:pPr>
              <w:rPr>
                <w:rFonts w:hint="eastAsia"/>
                <w:sz w:val="24"/>
                <w:szCs w:val="24"/>
              </w:rPr>
            </w:pPr>
          </w:p>
          <w:p>
            <w:pPr>
              <w:rPr>
                <w:rFonts w:hint="eastAsia"/>
                <w:sz w:val="24"/>
                <w:szCs w:val="24"/>
              </w:rPr>
            </w:pPr>
          </w:p>
          <w:p>
            <w:pPr>
              <w:rPr>
                <w:rFonts w:hint="eastAsia"/>
                <w:sz w:val="24"/>
                <w:szCs w:val="24"/>
              </w:rPr>
            </w:pPr>
          </w:p>
          <w:p>
            <w:pPr>
              <w:ind w:firstLine="240" w:firstLineChars="100"/>
              <w:rPr>
                <w:rFonts w:hint="eastAsia"/>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160" w:type="dxa"/>
          </w:tcPr>
          <w:p>
            <w:pPr>
              <w:rPr>
                <w:rFonts w:hint="default"/>
                <w:sz w:val="24"/>
                <w:szCs w:val="24"/>
                <w:lang w:val="en-US" w:eastAsia="zh-CN"/>
              </w:rPr>
            </w:pPr>
            <w:r>
              <w:rPr>
                <w:rFonts w:hint="eastAsia"/>
                <w:sz w:val="24"/>
                <w:szCs w:val="24"/>
                <w:lang w:val="en-US" w:eastAsia="zh-CN"/>
              </w:rPr>
              <w:t>能源目标\</w:t>
            </w:r>
            <w:r>
              <w:rPr>
                <w:rFonts w:hint="eastAsia"/>
                <w:sz w:val="24"/>
                <w:szCs w:val="24"/>
              </w:rPr>
              <w:t>能源指及其实现的策划</w:t>
            </w:r>
          </w:p>
        </w:tc>
        <w:tc>
          <w:tcPr>
            <w:tcW w:w="960" w:type="dxa"/>
          </w:tcPr>
          <w:p>
            <w:pPr>
              <w:rPr>
                <w:rFonts w:hint="default"/>
                <w:sz w:val="24"/>
                <w:szCs w:val="24"/>
                <w:lang w:val="en-US" w:eastAsia="zh-CN"/>
              </w:rPr>
            </w:pPr>
            <w:r>
              <w:rPr>
                <w:rFonts w:hint="eastAsia"/>
                <w:sz w:val="24"/>
                <w:szCs w:val="24"/>
                <w:lang w:val="en-US" w:eastAsia="zh-CN"/>
              </w:rPr>
              <w:t>En6.2</w:t>
            </w:r>
          </w:p>
        </w:tc>
        <w:tc>
          <w:tcPr>
            <w:tcW w:w="10852" w:type="dxa"/>
          </w:tcPr>
          <w:p>
            <w:pPr>
              <w:rPr>
                <w:rFonts w:hint="eastAsia"/>
                <w:sz w:val="24"/>
                <w:szCs w:val="24"/>
                <w:lang w:val="en-US" w:eastAsia="zh-CN"/>
              </w:rPr>
            </w:pPr>
            <w:r>
              <w:rPr>
                <w:rFonts w:hint="eastAsia"/>
                <w:sz w:val="24"/>
                <w:szCs w:val="24"/>
                <w:lang w:val="en-US" w:eastAsia="zh-CN"/>
              </w:rPr>
              <w:t>2021年的目标：混凝土单位产品能耗≦0.87kgce/m³</w:t>
            </w:r>
          </w:p>
          <w:p>
            <w:pPr>
              <w:rPr>
                <w:rFonts w:hint="eastAsia"/>
                <w:sz w:val="24"/>
                <w:szCs w:val="24"/>
                <w:lang w:val="en-US" w:eastAsia="zh-CN"/>
              </w:rPr>
            </w:pPr>
            <w:r>
              <w:rPr>
                <w:rFonts w:hint="eastAsia"/>
                <w:sz w:val="24"/>
                <w:szCs w:val="24"/>
                <w:lang w:val="en-US" w:eastAsia="zh-CN"/>
              </w:rPr>
              <w:t xml:space="preserve">               砂浆单位产品能耗≦1.45kgce/t</w:t>
            </w:r>
          </w:p>
          <w:p>
            <w:pPr>
              <w:rPr>
                <w:rFonts w:hint="eastAsia"/>
                <w:sz w:val="24"/>
                <w:szCs w:val="24"/>
                <w:lang w:val="en-US" w:eastAsia="zh-CN"/>
              </w:rPr>
            </w:pPr>
            <w:r>
              <w:rPr>
                <w:rFonts w:hint="eastAsia"/>
                <w:sz w:val="24"/>
                <w:szCs w:val="24"/>
                <w:lang w:val="en-US" w:eastAsia="zh-CN"/>
              </w:rPr>
              <w:t>2021年实际完成-混凝土单位产品能耗0.83kgce/m³</w:t>
            </w:r>
          </w:p>
          <w:p>
            <w:pPr>
              <w:rPr>
                <w:rFonts w:hint="eastAsia"/>
                <w:sz w:val="24"/>
                <w:szCs w:val="24"/>
                <w:lang w:val="en-US" w:eastAsia="zh-CN"/>
              </w:rPr>
            </w:pPr>
            <w:r>
              <w:rPr>
                <w:rFonts w:hint="eastAsia"/>
                <w:sz w:val="24"/>
                <w:szCs w:val="24"/>
                <w:lang w:val="en-US" w:eastAsia="zh-CN"/>
              </w:rPr>
              <w:t xml:space="preserve">               砂浆单位产品能耗0.51kgce/t</w:t>
            </w:r>
          </w:p>
          <w:p>
            <w:pPr>
              <w:rPr>
                <w:rFonts w:hint="eastAsia"/>
                <w:sz w:val="24"/>
                <w:szCs w:val="24"/>
                <w:lang w:val="en-US" w:eastAsia="zh-CN"/>
              </w:rPr>
            </w:pPr>
            <w:r>
              <w:rPr>
                <w:rFonts w:hint="eastAsia"/>
                <w:sz w:val="24"/>
                <w:szCs w:val="24"/>
                <w:lang w:val="en-US" w:eastAsia="zh-CN"/>
              </w:rPr>
              <w:t>2021年完成了目标；</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2022年目标-混凝土单位产品能耗≦0.83kgce/m³</w:t>
            </w:r>
          </w:p>
          <w:p>
            <w:pPr>
              <w:rPr>
                <w:rFonts w:hint="eastAsia"/>
                <w:sz w:val="24"/>
                <w:szCs w:val="24"/>
                <w:lang w:val="en-US" w:eastAsia="zh-CN"/>
              </w:rPr>
            </w:pPr>
            <w:r>
              <w:rPr>
                <w:rFonts w:hint="eastAsia"/>
                <w:sz w:val="24"/>
                <w:szCs w:val="24"/>
                <w:lang w:val="en-US" w:eastAsia="zh-CN"/>
              </w:rPr>
              <w:t xml:space="preserve">            砂浆单位产品能耗≦0.51kgce/t</w:t>
            </w:r>
          </w:p>
          <w:p>
            <w:pPr>
              <w:rPr>
                <w:rFonts w:hint="eastAsia"/>
                <w:sz w:val="24"/>
                <w:szCs w:val="24"/>
                <w:lang w:val="en-US" w:eastAsia="zh-CN"/>
              </w:rPr>
            </w:pPr>
            <w:r>
              <w:rPr>
                <w:rFonts w:hint="eastAsia"/>
                <w:sz w:val="24"/>
                <w:szCs w:val="24"/>
                <w:lang w:val="en-US" w:eastAsia="zh-CN"/>
              </w:rPr>
              <w:t>2022年1-7月份实际完成情况：混凝土单位产品能耗0.93kgce/m³</w:t>
            </w:r>
          </w:p>
          <w:p>
            <w:pPr>
              <w:rPr>
                <w:rFonts w:hint="eastAsia"/>
                <w:sz w:val="24"/>
                <w:szCs w:val="24"/>
                <w:lang w:val="en-US" w:eastAsia="zh-CN"/>
              </w:rPr>
            </w:pPr>
            <w:r>
              <w:rPr>
                <w:rFonts w:hint="eastAsia"/>
                <w:sz w:val="24"/>
                <w:szCs w:val="24"/>
                <w:lang w:val="en-US" w:eastAsia="zh-CN"/>
              </w:rPr>
              <w:t xml:space="preserve">                            砂浆单位产品能耗0.396kgce/t</w:t>
            </w:r>
          </w:p>
          <w:p>
            <w:pPr>
              <w:rPr>
                <w:rFonts w:hint="default" w:ascii="Times New Roman" w:hAnsi="Times New Roman" w:cs="Times New Roman"/>
                <w:sz w:val="24"/>
                <w:szCs w:val="24"/>
                <w:lang w:val="en-US" w:eastAsia="zh-CN"/>
              </w:rPr>
            </w:pPr>
            <w:r>
              <w:rPr>
                <w:rFonts w:hint="eastAsia"/>
                <w:sz w:val="24"/>
                <w:szCs w:val="24"/>
                <w:lang w:val="en-US" w:eastAsia="zh-CN"/>
              </w:rPr>
              <w:t>混凝土没有完成目标、砂浆完成来了目标。</w:t>
            </w:r>
          </w:p>
        </w:tc>
        <w:tc>
          <w:tcPr>
            <w:tcW w:w="737" w:type="dxa"/>
            <w:vAlign w:val="top"/>
          </w:tcPr>
          <w:p>
            <w:pPr>
              <w:rPr>
                <w:rFonts w:hint="eastAsia"/>
                <w:sz w:val="24"/>
                <w:szCs w:val="24"/>
              </w:rPr>
            </w:pPr>
          </w:p>
          <w:p>
            <w:pPr>
              <w:pStyle w:val="13"/>
              <w:rPr>
                <w:rFonts w:hint="eastAsia"/>
                <w:sz w:val="24"/>
                <w:szCs w:val="24"/>
              </w:rPr>
            </w:pPr>
          </w:p>
          <w:p>
            <w:pPr>
              <w:pStyle w:val="13"/>
              <w:rPr>
                <w:rFonts w:hint="eastAsia"/>
                <w:sz w:val="24"/>
                <w:szCs w:val="24"/>
              </w:rPr>
            </w:pPr>
          </w:p>
          <w:p>
            <w:pPr>
              <w:pStyle w:val="13"/>
              <w:rPr>
                <w:rFonts w:hint="eastAsia"/>
                <w:sz w:val="24"/>
                <w:szCs w:val="24"/>
              </w:rPr>
            </w:pPr>
          </w:p>
          <w:p>
            <w:pPr>
              <w:ind w:firstLine="240" w:firstLineChars="100"/>
              <w:rPr>
                <w:rFonts w:hint="eastAsia"/>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rPr>
                <w:rFonts w:hint="default"/>
                <w:sz w:val="24"/>
                <w:szCs w:val="24"/>
                <w:lang w:val="en-US" w:eastAsia="zh-CN"/>
              </w:rPr>
            </w:pPr>
            <w:r>
              <w:rPr>
                <w:rFonts w:hint="eastAsia"/>
                <w:sz w:val="24"/>
                <w:szCs w:val="24"/>
                <w:lang w:val="en-US" w:eastAsia="zh-CN"/>
              </w:rPr>
              <w:t>能源评审</w:t>
            </w:r>
          </w:p>
        </w:tc>
        <w:tc>
          <w:tcPr>
            <w:tcW w:w="960" w:type="dxa"/>
          </w:tcPr>
          <w:p>
            <w:pPr>
              <w:rPr>
                <w:rFonts w:hint="default"/>
                <w:sz w:val="24"/>
                <w:szCs w:val="24"/>
                <w:lang w:val="en-US" w:eastAsia="zh-CN"/>
              </w:rPr>
            </w:pPr>
            <w:r>
              <w:rPr>
                <w:rFonts w:hint="eastAsia"/>
                <w:sz w:val="24"/>
                <w:szCs w:val="24"/>
                <w:lang w:val="en-US" w:eastAsia="zh-CN"/>
              </w:rPr>
              <w:t>En6.3</w:t>
            </w:r>
          </w:p>
        </w:tc>
        <w:tc>
          <w:tcPr>
            <w:tcW w:w="10852" w:type="dxa"/>
          </w:tcPr>
          <w:p>
            <w:pPr>
              <w:rPr>
                <w:rFonts w:hint="eastAsia"/>
                <w:sz w:val="24"/>
                <w:szCs w:val="24"/>
                <w:lang w:val="en-US" w:eastAsia="zh-CN"/>
              </w:rPr>
            </w:pPr>
            <w:r>
              <w:rPr>
                <w:rFonts w:hint="eastAsia"/>
                <w:sz w:val="24"/>
                <w:szCs w:val="24"/>
                <w:lang w:val="en-US" w:eastAsia="zh-CN"/>
              </w:rPr>
              <w:t>提供：“内蒙古杭萧盛基绿色建筑材料科技有限公司”2022年8月6；内容包括：</w:t>
            </w:r>
          </w:p>
          <w:p>
            <w:pPr>
              <w:rPr>
                <w:rFonts w:hint="eastAsia"/>
                <w:sz w:val="24"/>
                <w:szCs w:val="24"/>
                <w:lang w:val="en-US" w:eastAsia="zh-CN"/>
              </w:rPr>
            </w:pPr>
            <w:r>
              <w:rPr>
                <w:rFonts w:hint="eastAsia"/>
                <w:sz w:val="24"/>
                <w:szCs w:val="24"/>
                <w:lang w:val="en-US" w:eastAsia="zh-CN"/>
              </w:rPr>
              <w:t>能源评审基础信息（目的和范围和边界、评审期、公司能源使用基本情况、淘汰能耗落后工艺、设备概况等）;  公司管理体系覆盖范围包括：</w:t>
            </w:r>
            <w:bookmarkStart w:id="0" w:name="审核范围"/>
            <w:r>
              <w:rPr>
                <w:rFonts w:hint="eastAsia"/>
                <w:sz w:val="24"/>
                <w:szCs w:val="24"/>
                <w:lang w:val="en-US" w:eastAsia="zh-CN"/>
              </w:rPr>
              <w:t>混凝土、砂浆的生产所涉及的能源管理活动</w:t>
            </w:r>
            <w:bookmarkEnd w:id="0"/>
            <w:r>
              <w:rPr>
                <w:rFonts w:hint="eastAsia"/>
                <w:sz w:val="24"/>
                <w:szCs w:val="24"/>
                <w:lang w:val="en-US" w:eastAsia="zh-CN"/>
              </w:rPr>
              <w:t>。</w:t>
            </w:r>
          </w:p>
          <w:p>
            <w:pPr>
              <w:rPr>
                <w:rFonts w:hint="default"/>
                <w:sz w:val="24"/>
                <w:szCs w:val="24"/>
                <w:lang w:val="en-US" w:eastAsia="zh-CN"/>
              </w:rPr>
            </w:pPr>
            <w:r>
              <w:rPr>
                <w:rFonts w:hint="eastAsia"/>
                <w:sz w:val="24"/>
                <w:szCs w:val="24"/>
                <w:lang w:val="en-US" w:eastAsia="zh-CN"/>
              </w:rPr>
              <w:t>预拌混凝土：</w:t>
            </w:r>
          </w:p>
          <w:p>
            <w:pPr>
              <w:rPr>
                <w:rFonts w:hint="eastAsia"/>
                <w:sz w:val="24"/>
                <w:szCs w:val="24"/>
                <w:lang w:val="en-US" w:eastAsia="zh-CN"/>
              </w:rPr>
            </w:pPr>
            <w:r>
              <w:rPr>
                <w:rFonts w:hint="eastAsia"/>
                <w:sz w:val="24"/>
                <w:szCs w:val="24"/>
                <w:lang w:val="en-US" w:eastAsia="zh-CN"/>
              </w:rPr>
              <w:t>评审期：2021年1月1日～2021年6月30日。</w:t>
            </w:r>
          </w:p>
          <w:p>
            <w:pPr>
              <w:rPr>
                <w:rFonts w:hint="eastAsia"/>
                <w:sz w:val="24"/>
                <w:szCs w:val="24"/>
                <w:lang w:val="en-US" w:eastAsia="zh-CN"/>
              </w:rPr>
            </w:pPr>
            <w:r>
              <w:rPr>
                <w:rFonts w:hint="eastAsia"/>
                <w:sz w:val="24"/>
                <w:szCs w:val="24"/>
                <w:lang w:val="en-US" w:eastAsia="zh-CN"/>
              </w:rPr>
              <w:t>基准期：2020年1月1日～2020年12月31日生产周期内平均值</w:t>
            </w:r>
          </w:p>
          <w:p>
            <w:pPr>
              <w:pStyle w:val="13"/>
              <w:rPr>
                <w:rFonts w:hint="eastAsia"/>
                <w:sz w:val="24"/>
                <w:szCs w:val="24"/>
                <w:lang w:val="en-US" w:eastAsia="zh-CN"/>
              </w:rPr>
            </w:pPr>
            <w:r>
              <w:rPr>
                <w:rFonts w:hint="eastAsia"/>
                <w:sz w:val="24"/>
                <w:szCs w:val="24"/>
                <w:lang w:val="en-US" w:eastAsia="zh-CN"/>
              </w:rPr>
              <w:t>预拌砂浆：</w:t>
            </w:r>
          </w:p>
          <w:p>
            <w:pPr>
              <w:rPr>
                <w:rFonts w:hint="eastAsia"/>
                <w:sz w:val="24"/>
                <w:szCs w:val="24"/>
                <w:lang w:val="en-US" w:eastAsia="zh-CN"/>
              </w:rPr>
            </w:pPr>
            <w:r>
              <w:rPr>
                <w:rFonts w:hint="eastAsia"/>
                <w:sz w:val="24"/>
                <w:szCs w:val="24"/>
                <w:lang w:val="en-US" w:eastAsia="zh-CN"/>
              </w:rPr>
              <w:t>评审期：2022年1月1日～2022年7月31日。</w:t>
            </w:r>
          </w:p>
          <w:p>
            <w:pPr>
              <w:rPr>
                <w:rFonts w:hint="eastAsia"/>
                <w:sz w:val="24"/>
                <w:szCs w:val="24"/>
                <w:lang w:val="en-US" w:eastAsia="zh-CN"/>
              </w:rPr>
            </w:pPr>
            <w:r>
              <w:rPr>
                <w:rFonts w:hint="eastAsia"/>
                <w:sz w:val="24"/>
                <w:szCs w:val="24"/>
                <w:lang w:val="en-US" w:eastAsia="zh-CN"/>
              </w:rPr>
              <w:t>基准期：2021年3月1日～2021年12月31日生产周期内平均值</w:t>
            </w:r>
          </w:p>
          <w:p>
            <w:pPr>
              <w:pStyle w:val="13"/>
              <w:rPr>
                <w:rFonts w:hint="default"/>
                <w:sz w:val="24"/>
                <w:szCs w:val="24"/>
                <w:lang w:val="en-US" w:eastAsia="zh-CN"/>
              </w:rPr>
            </w:pPr>
          </w:p>
          <w:p>
            <w:pPr>
              <w:rPr>
                <w:rFonts w:hint="default"/>
                <w:sz w:val="24"/>
                <w:szCs w:val="24"/>
                <w:lang w:val="en-US" w:eastAsia="zh-CN"/>
              </w:rPr>
            </w:pPr>
            <w:r>
              <w:rPr>
                <w:rFonts w:hint="eastAsia"/>
                <w:sz w:val="24"/>
                <w:szCs w:val="24"/>
                <w:lang w:val="en-US" w:eastAsia="zh-CN"/>
              </w:rPr>
              <w:t>能源管理状况评审（能源方针目标、能源管理组织及职责、能源管理制度、能源管理、能源计量、能源统计管理、能源定额管理、近三年生产和节能技改项目等）；</w:t>
            </w:r>
          </w:p>
          <w:p>
            <w:pPr>
              <w:rPr>
                <w:rFonts w:hint="default"/>
                <w:sz w:val="24"/>
                <w:szCs w:val="24"/>
                <w:lang w:val="en-US" w:eastAsia="zh-CN"/>
              </w:rPr>
            </w:pPr>
            <w:r>
              <w:rPr>
                <w:rFonts w:hint="eastAsia"/>
                <w:sz w:val="24"/>
                <w:szCs w:val="24"/>
                <w:lang w:val="en-US" w:eastAsia="zh-CN"/>
              </w:rPr>
              <w:t>能源利用状况评审（能源消耗结构分析、用能设备能耗分析等）；</w:t>
            </w:r>
          </w:p>
          <w:p>
            <w:pPr>
              <w:rPr>
                <w:rFonts w:hint="default"/>
                <w:sz w:val="24"/>
                <w:szCs w:val="24"/>
                <w:lang w:val="en-US" w:eastAsia="zh-CN"/>
              </w:rPr>
            </w:pPr>
            <w:r>
              <w:rPr>
                <w:rFonts w:hint="eastAsia"/>
                <w:sz w:val="24"/>
                <w:szCs w:val="24"/>
                <w:lang w:val="en-US" w:eastAsia="zh-CN"/>
              </w:rPr>
              <w:t>节能潜力分析和能源绩效优先改进机会识别（管理改进方法、项目改进方法）；</w:t>
            </w:r>
          </w:p>
          <w:p>
            <w:pPr>
              <w:rPr>
                <w:rFonts w:hint="default"/>
                <w:sz w:val="24"/>
                <w:szCs w:val="24"/>
                <w:lang w:val="en-US" w:eastAsia="zh-CN"/>
              </w:rPr>
            </w:pPr>
            <w:r>
              <w:rPr>
                <w:rFonts w:hint="eastAsia"/>
                <w:sz w:val="24"/>
                <w:szCs w:val="24"/>
                <w:lang w:val="en-US" w:eastAsia="zh-CN"/>
              </w:rPr>
              <w:t>未来能源的消耗分析；</w:t>
            </w:r>
          </w:p>
          <w:p>
            <w:pPr>
              <w:rPr>
                <w:rFonts w:hint="default"/>
                <w:sz w:val="24"/>
                <w:szCs w:val="24"/>
                <w:lang w:val="en-US" w:eastAsia="zh-CN"/>
              </w:rPr>
            </w:pPr>
            <w:r>
              <w:rPr>
                <w:rFonts w:hint="eastAsia"/>
                <w:sz w:val="24"/>
                <w:szCs w:val="24"/>
                <w:lang w:val="en-US" w:eastAsia="zh-CN"/>
              </w:rPr>
              <w:t>能源评审输出（能源绩效参数、能源基准和能源目标指标、影响主要能源使用的相关变量和参数控制）；</w:t>
            </w:r>
          </w:p>
          <w:p>
            <w:pPr>
              <w:rPr>
                <w:rFonts w:hint="default"/>
                <w:sz w:val="24"/>
                <w:szCs w:val="24"/>
                <w:lang w:val="en-US" w:eastAsia="zh-CN"/>
              </w:rPr>
            </w:pPr>
            <w:r>
              <w:rPr>
                <w:rFonts w:hint="eastAsia"/>
                <w:sz w:val="24"/>
                <w:szCs w:val="24"/>
                <w:lang w:val="en-US" w:eastAsia="zh-CN"/>
              </w:rPr>
              <w:t>结论和建议（总体评价、建议）</w:t>
            </w:r>
          </w:p>
          <w:p>
            <w:pPr>
              <w:rPr>
                <w:rFonts w:hint="default"/>
                <w:sz w:val="24"/>
                <w:szCs w:val="24"/>
                <w:lang w:val="en-US" w:eastAsia="zh-CN"/>
              </w:rPr>
            </w:pPr>
            <w:r>
              <w:rPr>
                <w:rFonts w:hint="eastAsia"/>
                <w:sz w:val="24"/>
                <w:szCs w:val="24"/>
                <w:lang w:val="en-US" w:eastAsia="zh-CN"/>
              </w:rPr>
              <w:t>以上内容基本满足标准要求。</w:t>
            </w:r>
          </w:p>
        </w:tc>
        <w:tc>
          <w:tcPr>
            <w:tcW w:w="737" w:type="dxa"/>
          </w:tcPr>
          <w:p>
            <w:pPr>
              <w:rPr>
                <w:rFonts w:hint="eastAsia"/>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sz w:val="24"/>
                <w:szCs w:val="24"/>
                <w:lang w:val="en-US" w:eastAsia="zh-CN"/>
              </w:rPr>
            </w:pPr>
            <w:r>
              <w:rPr>
                <w:rFonts w:hint="eastAsia"/>
                <w:sz w:val="24"/>
                <w:szCs w:val="24"/>
                <w:lang w:val="en-US" w:eastAsia="zh-CN"/>
              </w:rPr>
              <w:t>能源绩效参数、能源基准的确定</w:t>
            </w:r>
          </w:p>
        </w:tc>
        <w:tc>
          <w:tcPr>
            <w:tcW w:w="960" w:type="dxa"/>
          </w:tcPr>
          <w:p>
            <w:pPr>
              <w:rPr>
                <w:rFonts w:hint="eastAsia"/>
                <w:sz w:val="24"/>
                <w:szCs w:val="24"/>
                <w:lang w:val="en-US" w:eastAsia="zh-CN"/>
              </w:rPr>
            </w:pPr>
            <w:r>
              <w:rPr>
                <w:rFonts w:hint="eastAsia"/>
                <w:sz w:val="24"/>
                <w:szCs w:val="24"/>
                <w:lang w:val="en-US" w:eastAsia="zh-CN"/>
              </w:rPr>
              <w:t>En6.4/</w:t>
            </w:r>
          </w:p>
          <w:p>
            <w:pPr>
              <w:rPr>
                <w:rFonts w:hint="default"/>
                <w:sz w:val="24"/>
                <w:szCs w:val="24"/>
                <w:lang w:val="en-US" w:eastAsia="zh-CN"/>
              </w:rPr>
            </w:pPr>
            <w:r>
              <w:rPr>
                <w:rFonts w:hint="eastAsia"/>
                <w:sz w:val="24"/>
                <w:szCs w:val="24"/>
                <w:lang w:val="en-US" w:eastAsia="zh-CN"/>
              </w:rPr>
              <w:t>6.5</w:t>
            </w:r>
          </w:p>
        </w:tc>
        <w:tc>
          <w:tcPr>
            <w:tcW w:w="10852" w:type="dxa"/>
          </w:tcPr>
          <w:p>
            <w:pPr>
              <w:rPr>
                <w:rFonts w:hint="eastAsia"/>
                <w:sz w:val="24"/>
                <w:szCs w:val="24"/>
                <w:lang w:val="en-US" w:eastAsia="zh-CN"/>
              </w:rPr>
            </w:pPr>
            <w:r>
              <w:rPr>
                <w:rFonts w:hint="eastAsia"/>
                <w:sz w:val="24"/>
                <w:szCs w:val="24"/>
                <w:lang w:val="en-US" w:eastAsia="zh-CN"/>
              </w:rPr>
              <w:t>该企业根据2020年的生产经营情况进行分析，认为2020年因受市场原因和新冠疫情的影响，企业的生产经营活动处于波动状态，但能源消耗稳定，通过对2020年市场分析和企业的生产规模及与客户的沟通确定2021年的能源绩效参数及能源基准和目标</w:t>
            </w:r>
          </w:p>
          <w:p>
            <w:pPr>
              <w:rPr>
                <w:rFonts w:hint="eastAsia"/>
                <w:sz w:val="24"/>
                <w:szCs w:val="24"/>
                <w:lang w:val="en-US" w:eastAsia="zh-CN"/>
              </w:rPr>
            </w:pPr>
            <w:r>
              <w:rPr>
                <w:rFonts w:hint="eastAsia"/>
                <w:sz w:val="24"/>
                <w:szCs w:val="24"/>
                <w:lang w:val="en-US" w:eastAsia="zh-CN"/>
              </w:rPr>
              <w:t>企业制定的能源绩效参数为：混凝土-单位产品能耗（kgce/m³）、砂浆-单位产品能耗（kgce/t）；</w:t>
            </w:r>
          </w:p>
          <w:p>
            <w:pPr>
              <w:rPr>
                <w:rFonts w:hint="eastAsia"/>
                <w:sz w:val="24"/>
                <w:szCs w:val="24"/>
                <w:lang w:val="en-US" w:eastAsia="zh-CN"/>
              </w:rPr>
            </w:pPr>
            <w:r>
              <w:rPr>
                <w:rFonts w:hint="eastAsia"/>
                <w:sz w:val="24"/>
                <w:szCs w:val="24"/>
                <w:lang w:val="en-US" w:eastAsia="zh-CN"/>
              </w:rPr>
              <w:t>能源基准以上年度实际发生值为基准。</w:t>
            </w:r>
          </w:p>
          <w:p>
            <w:pPr>
              <w:rPr>
                <w:rFonts w:hint="eastAsia"/>
                <w:sz w:val="24"/>
                <w:szCs w:val="24"/>
                <w:lang w:val="en-US" w:eastAsia="zh-CN"/>
              </w:rPr>
            </w:pPr>
            <w:r>
              <w:rPr>
                <w:rFonts w:hint="eastAsia"/>
                <w:sz w:val="24"/>
                <w:szCs w:val="24"/>
                <w:lang w:val="en-US" w:eastAsia="zh-CN"/>
              </w:rPr>
              <w:t>根据能源评审报告分析：2021年内蒙古杭萧盛基绿色建筑材料科技有限公司的能源绩效参数和能源基准确定如下;</w:t>
            </w:r>
          </w:p>
          <w:p>
            <w:pPr>
              <w:rPr>
                <w:rFonts w:hint="eastAsia"/>
                <w:sz w:val="24"/>
                <w:szCs w:val="24"/>
                <w:lang w:val="en-US" w:eastAsia="zh-CN"/>
              </w:rPr>
            </w:pPr>
            <w:r>
              <w:rPr>
                <w:rFonts w:hint="eastAsia" w:ascii="Times New Roman" w:hAnsi="Times New Roman" w:eastAsia="宋体" w:cs="Times New Roman"/>
                <w:color w:val="auto"/>
                <w:spacing w:val="0"/>
                <w:kern w:val="2"/>
                <w:sz w:val="24"/>
                <w:szCs w:val="24"/>
                <w:lang w:val="en-US" w:eastAsia="zh-CN" w:bidi="ar-SA"/>
              </w:rPr>
              <w:t>202</w:t>
            </w:r>
            <w:r>
              <w:rPr>
                <w:rFonts w:hint="eastAsia" w:eastAsia="宋体" w:cs="Times New Roman"/>
                <w:color w:val="auto"/>
                <w:spacing w:val="0"/>
                <w:kern w:val="2"/>
                <w:sz w:val="24"/>
                <w:szCs w:val="24"/>
                <w:lang w:val="en-US" w:eastAsia="zh-CN" w:bidi="ar-SA"/>
              </w:rPr>
              <w:t>0</w:t>
            </w:r>
            <w:r>
              <w:rPr>
                <w:rFonts w:hint="eastAsia" w:ascii="Times New Roman" w:hAnsi="Times New Roman" w:eastAsia="宋体" w:cs="Times New Roman"/>
                <w:color w:val="auto"/>
                <w:spacing w:val="0"/>
                <w:kern w:val="2"/>
                <w:sz w:val="24"/>
                <w:szCs w:val="24"/>
                <w:lang w:val="en-US" w:eastAsia="zh-CN" w:bidi="ar-SA"/>
              </w:rPr>
              <w:t>年实际完成为：</w:t>
            </w:r>
            <w:r>
              <w:rPr>
                <w:rFonts w:hint="eastAsia"/>
                <w:sz w:val="24"/>
                <w:szCs w:val="24"/>
                <w:lang w:val="en-US" w:eastAsia="zh-CN"/>
              </w:rPr>
              <w:t>混凝土单位产品能耗0.87kgce/m³</w:t>
            </w:r>
          </w:p>
          <w:p>
            <w:pPr>
              <w:rPr>
                <w:rFonts w:hint="eastAsia"/>
                <w:sz w:val="24"/>
                <w:szCs w:val="24"/>
                <w:lang w:val="en-US" w:eastAsia="zh-CN"/>
              </w:rPr>
            </w:pPr>
            <w:r>
              <w:rPr>
                <w:rFonts w:hint="eastAsia"/>
                <w:sz w:val="24"/>
                <w:szCs w:val="24"/>
                <w:lang w:val="en-US" w:eastAsia="zh-CN"/>
              </w:rPr>
              <w:t>2020年实际完成混凝土单位产品能耗0.87kgce/m³</w:t>
            </w:r>
          </w:p>
          <w:p>
            <w:pPr>
              <w:rPr>
                <w:rFonts w:hint="default"/>
                <w:sz w:val="24"/>
                <w:szCs w:val="24"/>
                <w:lang w:val="en-US" w:eastAsia="zh-CN"/>
              </w:rPr>
            </w:pPr>
            <w:r>
              <w:rPr>
                <w:rFonts w:hint="eastAsia"/>
                <w:sz w:val="24"/>
                <w:szCs w:val="24"/>
                <w:lang w:val="en-US" w:eastAsia="zh-CN"/>
              </w:rPr>
              <w:t>即为2021年目标：混凝土单位产品能耗≦0.87kgce/m³</w:t>
            </w:r>
          </w:p>
          <w:p>
            <w:pPr>
              <w:rPr>
                <w:rFonts w:hint="eastAsia"/>
                <w:sz w:val="24"/>
                <w:szCs w:val="24"/>
                <w:lang w:val="en-US" w:eastAsia="zh-CN"/>
              </w:rPr>
            </w:pPr>
            <w:r>
              <w:rPr>
                <w:rFonts w:hint="eastAsia"/>
                <w:sz w:val="24"/>
                <w:szCs w:val="24"/>
                <w:lang w:val="en-US" w:eastAsia="zh-CN"/>
              </w:rPr>
              <w:t xml:space="preserve">因砂浆自2021年3月开始生产，砂浆的目标参考北京地区砂浆限额为依据，及以1.45kgce/t为基准；             </w:t>
            </w:r>
          </w:p>
          <w:p>
            <w:pPr>
              <w:rPr>
                <w:rFonts w:hint="default"/>
                <w:lang w:val="en-US" w:eastAsia="zh-CN"/>
              </w:rPr>
            </w:pPr>
            <w:r>
              <w:rPr>
                <w:rFonts w:hint="eastAsia"/>
                <w:sz w:val="24"/>
                <w:szCs w:val="24"/>
                <w:lang w:val="en-US" w:eastAsia="zh-CN"/>
              </w:rPr>
              <w:t>所以，2021年砂浆的目标为：砂浆单位产品能耗≦1.45kgce/t</w:t>
            </w:r>
          </w:p>
        </w:tc>
        <w:tc>
          <w:tcPr>
            <w:tcW w:w="7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Y</w:t>
            </w: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160" w:type="dxa"/>
          </w:tcPr>
          <w:p>
            <w:pPr>
              <w:rPr>
                <w:rFonts w:hint="default"/>
                <w:sz w:val="24"/>
                <w:szCs w:val="24"/>
                <w:lang w:val="en-US" w:eastAsia="zh-CN"/>
              </w:rPr>
            </w:pPr>
            <w:r>
              <w:rPr>
                <w:rFonts w:hint="eastAsia"/>
                <w:sz w:val="24"/>
                <w:szCs w:val="24"/>
                <w:lang w:val="en-US" w:eastAsia="zh-CN"/>
              </w:rPr>
              <w:t>能源数据的收集策划</w:t>
            </w:r>
          </w:p>
        </w:tc>
        <w:tc>
          <w:tcPr>
            <w:tcW w:w="960" w:type="dxa"/>
          </w:tcPr>
          <w:p>
            <w:pPr>
              <w:rPr>
                <w:rFonts w:hint="default"/>
                <w:sz w:val="24"/>
                <w:szCs w:val="24"/>
                <w:lang w:val="en-US" w:eastAsia="zh-CN"/>
              </w:rPr>
            </w:pPr>
            <w:r>
              <w:rPr>
                <w:rFonts w:hint="eastAsia"/>
                <w:sz w:val="24"/>
                <w:szCs w:val="24"/>
                <w:lang w:val="en-US" w:eastAsia="zh-CN"/>
              </w:rPr>
              <w:t>En6.6</w:t>
            </w:r>
          </w:p>
        </w:tc>
        <w:tc>
          <w:tcPr>
            <w:tcW w:w="10852" w:type="dxa"/>
          </w:tcPr>
          <w:p>
            <w:pPr>
              <w:rPr>
                <w:rFonts w:hint="eastAsia"/>
                <w:sz w:val="24"/>
                <w:szCs w:val="24"/>
                <w:lang w:val="en-US" w:eastAsia="zh-CN"/>
              </w:rPr>
            </w:pPr>
            <w:r>
              <w:rPr>
                <w:rFonts w:hint="eastAsia"/>
                <w:sz w:val="24"/>
                <w:szCs w:val="24"/>
                <w:lang w:val="en-US" w:eastAsia="zh-CN"/>
              </w:rPr>
              <w:t>该企业根据能源统计和能源核算以及成本考核等因素，对能源数据的收集进行了策划，并通过生产统计表（日报表）的形式予以展示，按照数据收集策划的要求对能源消耗进行成本核算和考核，基本满足企业能源管理的要求。</w:t>
            </w:r>
          </w:p>
          <w:p>
            <w:pPr>
              <w:rPr>
                <w:rFonts w:hint="default"/>
                <w:sz w:val="24"/>
                <w:szCs w:val="24"/>
                <w:lang w:val="en-US" w:eastAsia="zh-CN"/>
              </w:rPr>
            </w:pPr>
            <w:r>
              <w:rPr>
                <w:rFonts w:hint="eastAsia"/>
                <w:sz w:val="24"/>
                <w:szCs w:val="24"/>
                <w:lang w:val="en-US" w:eastAsia="zh-CN"/>
              </w:rPr>
              <w:t>但企业并未形成文件化或准则要求，建议企业逐步改进，已与企业进行沟通。</w:t>
            </w:r>
          </w:p>
        </w:tc>
        <w:tc>
          <w:tcPr>
            <w:tcW w:w="737" w:type="dxa"/>
          </w:tcPr>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Y</w:t>
            </w: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运行控制、沟通</w:t>
            </w:r>
          </w:p>
        </w:tc>
        <w:tc>
          <w:tcPr>
            <w:tcW w:w="960" w:type="dxa"/>
          </w:tcPr>
          <w:p>
            <w:pPr>
              <w:rPr>
                <w:rFonts w:hint="eastAsia"/>
                <w:sz w:val="24"/>
                <w:szCs w:val="24"/>
                <w:lang w:val="en-US" w:eastAsia="zh-CN"/>
              </w:rPr>
            </w:pPr>
            <w:r>
              <w:rPr>
                <w:rFonts w:hint="eastAsia"/>
                <w:sz w:val="24"/>
                <w:szCs w:val="24"/>
                <w:lang w:val="en-US" w:eastAsia="zh-CN"/>
              </w:rPr>
              <w:t>En7.4/</w:t>
            </w:r>
          </w:p>
          <w:p>
            <w:pPr>
              <w:rPr>
                <w:rFonts w:hint="default"/>
                <w:sz w:val="24"/>
                <w:szCs w:val="24"/>
                <w:lang w:val="en-US" w:eastAsia="zh-CN"/>
              </w:rPr>
            </w:pPr>
            <w:r>
              <w:rPr>
                <w:rFonts w:hint="eastAsia"/>
                <w:sz w:val="24"/>
                <w:szCs w:val="24"/>
                <w:lang w:val="en-US" w:eastAsia="zh-CN"/>
              </w:rPr>
              <w:t>6.6/</w:t>
            </w:r>
          </w:p>
          <w:p>
            <w:pPr>
              <w:rPr>
                <w:rFonts w:hint="default"/>
                <w:sz w:val="24"/>
                <w:szCs w:val="24"/>
                <w:lang w:val="en-US" w:eastAsia="zh-CN"/>
              </w:rPr>
            </w:pPr>
            <w:r>
              <w:rPr>
                <w:rFonts w:hint="eastAsia"/>
                <w:sz w:val="24"/>
                <w:szCs w:val="24"/>
                <w:lang w:val="en-US" w:eastAsia="zh-CN"/>
              </w:rPr>
              <w:t>8.1/9.1.1</w:t>
            </w:r>
          </w:p>
        </w:tc>
        <w:tc>
          <w:tcPr>
            <w:tcW w:w="10852" w:type="dxa"/>
          </w:tcPr>
          <w:p>
            <w:pPr>
              <w:rPr>
                <w:rFonts w:hint="eastAsia"/>
                <w:sz w:val="24"/>
                <w:szCs w:val="24"/>
                <w:lang w:val="en-US" w:eastAsia="zh-CN"/>
              </w:rPr>
            </w:pPr>
            <w:r>
              <w:rPr>
                <w:rFonts w:hint="eastAsia"/>
                <w:sz w:val="24"/>
                <w:szCs w:val="24"/>
                <w:lang w:val="en-US" w:eastAsia="zh-CN"/>
              </w:rPr>
              <w:t>内蒙古杭萧盛基绿色建筑材料科技有限公司是一家专业生产混凝土、砂浆的企业，公司产品广泛应用于建筑工程中,在发展历程中，秉承“质量和创新是企业生命线”的理念形成具有专业技术的设计团队，配备专业的加工设备和材料检测室，为客户提供优质的混凝土、砂浆产品。</w:t>
            </w:r>
          </w:p>
          <w:p>
            <w:pPr>
              <w:rPr>
                <w:rFonts w:hint="eastAsia"/>
                <w:sz w:val="24"/>
                <w:szCs w:val="24"/>
                <w:lang w:val="en-US" w:eastAsia="zh-CN"/>
              </w:rPr>
            </w:pPr>
            <w:r>
              <w:rPr>
                <w:rFonts w:hint="eastAsia"/>
                <w:sz w:val="24"/>
                <w:szCs w:val="24"/>
                <w:lang w:val="en-US" w:eastAsia="zh-CN"/>
              </w:rPr>
              <w:t xml:space="preserve">通过运用多个数据化管理系统，形成产、供、销科学之规划和管理，并可以完全根据客户之不同要求 设计、制造，以此满足客户需要。 </w:t>
            </w:r>
          </w:p>
          <w:p>
            <w:pPr>
              <w:rPr>
                <w:rFonts w:hint="eastAsia"/>
                <w:sz w:val="24"/>
                <w:szCs w:val="24"/>
                <w:lang w:val="en-US" w:eastAsia="zh-CN"/>
              </w:rPr>
            </w:pPr>
          </w:p>
          <w:p>
            <w:pPr>
              <w:numPr>
                <w:ilvl w:val="0"/>
                <w:numId w:val="1"/>
              </w:numPr>
              <w:rPr>
                <w:rFonts w:hint="eastAsia"/>
                <w:sz w:val="24"/>
                <w:szCs w:val="24"/>
                <w:lang w:val="en-US" w:eastAsia="zh-CN"/>
              </w:rPr>
            </w:pPr>
            <w:r>
              <w:rPr>
                <w:rFonts w:hint="eastAsia"/>
                <w:sz w:val="24"/>
                <w:szCs w:val="24"/>
                <w:lang w:val="en-US" w:eastAsia="zh-CN"/>
              </w:rPr>
              <w:t>工艺流程：</w:t>
            </w:r>
          </w:p>
          <w:p>
            <w:pPr>
              <w:rPr>
                <w:rFonts w:hint="eastAsia"/>
                <w:sz w:val="24"/>
                <w:szCs w:val="24"/>
                <w:lang w:val="en-US" w:eastAsia="zh-CN"/>
              </w:rPr>
            </w:pPr>
            <w:r>
              <w:drawing>
                <wp:inline distT="0" distB="0" distL="0" distR="0">
                  <wp:extent cx="6745605" cy="3979545"/>
                  <wp:effectExtent l="0" t="0" r="1079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6745605" cy="3979545"/>
                          </a:xfrm>
                          <a:prstGeom prst="rect">
                            <a:avLst/>
                          </a:prstGeom>
                        </pic:spPr>
                      </pic:pic>
                    </a:graphicData>
                  </a:graphic>
                </wp:inline>
              </w:drawing>
            </w:r>
          </w:p>
          <w:p>
            <w:pPr>
              <w:pStyle w:val="2"/>
              <w:rPr>
                <w:rFonts w:hint="eastAsia"/>
                <w:sz w:val="24"/>
                <w:szCs w:val="24"/>
                <w:lang w:val="en-US" w:eastAsia="zh-CN"/>
              </w:rPr>
            </w:pPr>
            <w:r>
              <w:drawing>
                <wp:inline distT="0" distB="0" distL="0" distR="0">
                  <wp:extent cx="6715125" cy="30765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6715125" cy="3076575"/>
                          </a:xfrm>
                          <a:prstGeom prst="rect">
                            <a:avLst/>
                          </a:prstGeom>
                        </pic:spPr>
                      </pic:pic>
                    </a:graphicData>
                  </a:graphic>
                </wp:inline>
              </w:drawing>
            </w:r>
          </w:p>
          <w:p>
            <w:pPr>
              <w:pStyle w:val="2"/>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生产控制情况：生产中主要生产设备是：混凝土生产线、砂浆生产线等。</w:t>
            </w:r>
          </w:p>
          <w:p>
            <w:pPr>
              <w:rPr>
                <w:rFonts w:hint="eastAsia"/>
                <w:sz w:val="24"/>
                <w:szCs w:val="24"/>
                <w:lang w:val="en-US" w:eastAsia="zh-CN"/>
              </w:rPr>
            </w:pPr>
            <w:r>
              <w:rPr>
                <w:rFonts w:hint="eastAsia"/>
                <w:sz w:val="24"/>
                <w:szCs w:val="24"/>
                <w:lang w:val="en-US" w:eastAsia="zh-CN"/>
              </w:rPr>
              <w:t>抽查：2021年1-12月份生产统计表（月报表）和2022年1-7月份生产统计表（月报表）分析能耗耗与产品的消耗等数据，对能源消耗进行控制。</w:t>
            </w:r>
          </w:p>
          <w:p>
            <w:pPr>
              <w:rPr>
                <w:rFonts w:hint="eastAsia"/>
                <w:sz w:val="24"/>
                <w:szCs w:val="24"/>
                <w:lang w:val="en-US" w:eastAsia="zh-CN"/>
              </w:rPr>
            </w:pPr>
            <w:r>
              <w:drawing>
                <wp:inline distT="0" distB="0" distL="114300" distR="114300">
                  <wp:extent cx="6760845" cy="5495290"/>
                  <wp:effectExtent l="0" t="0" r="825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760845" cy="549529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6764655" cy="5421630"/>
                  <wp:effectExtent l="0" t="0" r="444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6764655" cy="542163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6723380" cy="5269230"/>
                  <wp:effectExtent l="0" t="0" r="762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6723380" cy="526923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6720205" cy="5475605"/>
                  <wp:effectExtent l="0" t="0" r="10795"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6720205" cy="5475605"/>
                          </a:xfrm>
                          <a:prstGeom prst="rect">
                            <a:avLst/>
                          </a:prstGeom>
                          <a:noFill/>
                          <a:ln>
                            <a:noFill/>
                          </a:ln>
                        </pic:spPr>
                      </pic:pic>
                    </a:graphicData>
                  </a:graphic>
                </wp:inline>
              </w:drawing>
            </w:r>
          </w:p>
          <w:p>
            <w:pPr>
              <w:rPr>
                <w:rFonts w:hint="eastAsia"/>
                <w:sz w:val="24"/>
                <w:szCs w:val="24"/>
                <w:lang w:val="en-US" w:eastAsia="zh-CN"/>
              </w:rPr>
            </w:pPr>
            <w:r>
              <w:rPr>
                <w:rFonts w:hint="eastAsia"/>
                <w:sz w:val="24"/>
                <w:szCs w:val="24"/>
                <w:lang w:val="en-US" w:eastAsia="zh-CN"/>
              </w:rPr>
              <w:t>三、设备管理</w:t>
            </w:r>
          </w:p>
          <w:p>
            <w:pPr>
              <w:rPr>
                <w:rFonts w:hint="eastAsia"/>
                <w:sz w:val="24"/>
                <w:szCs w:val="24"/>
                <w:lang w:val="en-US" w:eastAsia="zh-CN"/>
              </w:rPr>
            </w:pPr>
            <w:r>
              <w:rPr>
                <w:rFonts w:hint="eastAsia"/>
                <w:sz w:val="24"/>
                <w:szCs w:val="24"/>
                <w:lang w:val="en-US" w:eastAsia="zh-CN"/>
              </w:rPr>
              <w:t>提供：设备管理制度及生产设备台账，编制了设备管理制度和生产设备台账，主要生产设备有2条混凝土生产线、1条砂浆生产线。</w:t>
            </w:r>
          </w:p>
          <w:p>
            <w:pPr>
              <w:rPr>
                <w:rFonts w:hint="eastAsia"/>
                <w:sz w:val="24"/>
                <w:szCs w:val="24"/>
                <w:lang w:val="en-US" w:eastAsia="zh-CN"/>
              </w:rPr>
            </w:pPr>
          </w:p>
          <w:p>
            <w:pPr>
              <w:numPr>
                <w:ilvl w:val="0"/>
                <w:numId w:val="2"/>
              </w:numPr>
              <w:rPr>
                <w:rFonts w:hint="eastAsia"/>
                <w:sz w:val="24"/>
                <w:szCs w:val="24"/>
                <w:lang w:val="en-US" w:eastAsia="zh-CN"/>
              </w:rPr>
            </w:pPr>
            <w:r>
              <w:rPr>
                <w:rFonts w:hint="eastAsia"/>
                <w:sz w:val="24"/>
                <w:szCs w:val="24"/>
                <w:lang w:val="en-US" w:eastAsia="zh-CN"/>
              </w:rPr>
              <w:t>能源计量管理：</w:t>
            </w:r>
          </w:p>
          <w:p>
            <w:pPr>
              <w:rPr>
                <w:rFonts w:hint="default"/>
                <w:sz w:val="24"/>
                <w:szCs w:val="24"/>
                <w:lang w:val="en-US" w:eastAsia="zh-CN"/>
              </w:rPr>
            </w:pPr>
            <w:r>
              <w:rPr>
                <w:rFonts w:hint="eastAsia"/>
                <w:sz w:val="24"/>
                <w:szCs w:val="24"/>
                <w:lang w:val="en-US" w:eastAsia="zh-CN"/>
              </w:rPr>
              <w:t>提供：能源测量设备统计表，水、电各一台进户表，二级电表配备2个，各车间一个。</w:t>
            </w:r>
          </w:p>
          <w:p>
            <w:pPr>
              <w:rPr>
                <w:rFonts w:hint="eastAsia"/>
                <w:sz w:val="24"/>
                <w:szCs w:val="24"/>
                <w:lang w:val="en-US" w:eastAsia="zh-CN"/>
              </w:rPr>
            </w:pPr>
            <w:r>
              <w:drawing>
                <wp:inline distT="0" distB="0" distL="114300" distR="114300">
                  <wp:extent cx="6747510" cy="1674495"/>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6747510" cy="1674495"/>
                          </a:xfrm>
                          <a:prstGeom prst="rect">
                            <a:avLst/>
                          </a:prstGeom>
                          <a:noFill/>
                          <a:ln>
                            <a:noFill/>
                          </a:ln>
                        </pic:spPr>
                      </pic:pic>
                    </a:graphicData>
                  </a:graphic>
                </wp:inline>
              </w:drawing>
            </w:r>
          </w:p>
          <w:p>
            <w:pPr>
              <w:rPr>
                <w:rFonts w:hint="default"/>
                <w:sz w:val="24"/>
                <w:szCs w:val="24"/>
                <w:lang w:val="en-US" w:eastAsia="zh-CN"/>
              </w:rPr>
            </w:pPr>
            <w:r>
              <w:rPr>
                <w:rFonts w:hint="eastAsia"/>
                <w:sz w:val="24"/>
                <w:szCs w:val="24"/>
                <w:lang w:val="en-US" w:eastAsia="zh-CN"/>
              </w:rPr>
              <w:t>电表和水表的检定情况：</w:t>
            </w:r>
          </w:p>
          <w:p>
            <w:pPr>
              <w:rPr>
                <w:rFonts w:hint="default"/>
                <w:sz w:val="24"/>
                <w:szCs w:val="24"/>
                <w:lang w:val="en-US" w:eastAsia="zh-CN"/>
              </w:rPr>
            </w:pPr>
            <w:r>
              <w:rPr>
                <w:rFonts w:hint="eastAsia"/>
                <w:sz w:val="24"/>
                <w:szCs w:val="24"/>
                <w:lang w:val="en-US" w:eastAsia="zh-CN"/>
              </w:rPr>
              <w:t>一级电度计量表由电业局负责管理，水表由供水部门管理；</w:t>
            </w:r>
          </w:p>
          <w:p>
            <w:pPr>
              <w:rPr>
                <w:rFonts w:hint="eastAsia"/>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五、淘汰能耗落后工艺、设备概况</w:t>
            </w:r>
          </w:p>
          <w:p>
            <w:pPr>
              <w:rPr>
                <w:rFonts w:hint="default"/>
                <w:sz w:val="24"/>
                <w:szCs w:val="24"/>
                <w:lang w:val="en-US" w:eastAsia="zh-CN"/>
              </w:rPr>
            </w:pPr>
            <w:r>
              <w:rPr>
                <w:rFonts w:hint="eastAsia"/>
                <w:sz w:val="24"/>
                <w:szCs w:val="24"/>
                <w:lang w:val="en-US" w:eastAsia="zh-CN"/>
              </w:rPr>
              <w:t>按照国家政策法规文件识别内蒙古杭萧盛基绿色建筑材料科技有限公司无相关能耗落后的工艺，也无淘汰落后设备。</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六、能源限额管理：企业所处行业目前国家及地方限额标准如下：</w:t>
            </w:r>
            <w:bookmarkStart w:id="1" w:name="_GoBack"/>
            <w:bookmarkEnd w:id="1"/>
          </w:p>
          <w:p>
            <w:pPr>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GB36888-2018预拌混凝土单位产品能源消耗限额规定：可参考3级标准执行；</w:t>
            </w:r>
          </w:p>
          <w:p>
            <w:pPr>
              <w:pStyle w:val="2"/>
              <w:rPr>
                <w:rFonts w:hint="default"/>
                <w:sz w:val="24"/>
                <w:szCs w:val="24"/>
                <w:lang w:val="en-US" w:eastAsia="zh-CN"/>
              </w:rPr>
            </w:pPr>
            <w:r>
              <w:drawing>
                <wp:inline distT="0" distB="0" distL="114300" distR="114300">
                  <wp:extent cx="6702425" cy="1784350"/>
                  <wp:effectExtent l="0" t="0" r="3175"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a:stretch>
                            <a:fillRect/>
                          </a:stretch>
                        </pic:blipFill>
                        <pic:spPr>
                          <a:xfrm>
                            <a:off x="0" y="0"/>
                            <a:ext cx="6702425" cy="1784350"/>
                          </a:xfrm>
                          <a:prstGeom prst="rect">
                            <a:avLst/>
                          </a:prstGeom>
                          <a:noFill/>
                          <a:ln>
                            <a:noFill/>
                          </a:ln>
                        </pic:spPr>
                      </pic:pic>
                    </a:graphicData>
                  </a:graphic>
                </wp:inline>
              </w:drawing>
            </w:r>
          </w:p>
          <w:p>
            <w:pPr>
              <w:pStyle w:val="2"/>
              <w:rPr>
                <w:rFonts w:hint="default"/>
                <w:sz w:val="24"/>
                <w:szCs w:val="24"/>
                <w:lang w:val="en-US" w:eastAsia="zh-CN"/>
              </w:rPr>
            </w:pPr>
            <w:r>
              <w:rPr>
                <w:rFonts w:hint="eastAsia"/>
                <w:sz w:val="24"/>
                <w:szCs w:val="24"/>
                <w:lang w:val="en-US" w:eastAsia="zh-CN"/>
              </w:rPr>
              <w:t>砂浆可以参考北京标准DB11/T1527-2018预拌砂浆单位产品能源消耗限额规定：可参考外购干砂执行。</w:t>
            </w:r>
          </w:p>
          <w:p>
            <w:pPr>
              <w:pStyle w:val="2"/>
              <w:rPr>
                <w:rFonts w:hint="eastAsia"/>
                <w:sz w:val="24"/>
                <w:szCs w:val="24"/>
                <w:lang w:val="en-US" w:eastAsia="zh-CN"/>
              </w:rPr>
            </w:pPr>
            <w:r>
              <w:drawing>
                <wp:inline distT="0" distB="0" distL="114300" distR="114300">
                  <wp:extent cx="6679565" cy="150495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6679565" cy="1504950"/>
                          </a:xfrm>
                          <a:prstGeom prst="rect">
                            <a:avLst/>
                          </a:prstGeom>
                          <a:noFill/>
                          <a:ln>
                            <a:noFill/>
                          </a:ln>
                        </pic:spPr>
                      </pic:pic>
                    </a:graphicData>
                  </a:graphic>
                </wp:inline>
              </w:drawing>
            </w:r>
          </w:p>
          <w:p>
            <w:pPr>
              <w:pStyle w:val="2"/>
              <w:rPr>
                <w:rFonts w:hint="eastAsia"/>
                <w:sz w:val="24"/>
                <w:szCs w:val="24"/>
                <w:lang w:val="en-US" w:eastAsia="zh-CN"/>
              </w:rPr>
            </w:pPr>
          </w:p>
          <w:p>
            <w:pPr>
              <w:numPr>
                <w:ilvl w:val="0"/>
                <w:numId w:val="3"/>
              </w:numPr>
              <w:rPr>
                <w:rFonts w:hint="eastAsia"/>
                <w:sz w:val="24"/>
                <w:szCs w:val="24"/>
                <w:lang w:val="en-US" w:eastAsia="zh-CN"/>
              </w:rPr>
            </w:pPr>
            <w:r>
              <w:rPr>
                <w:rFonts w:hint="eastAsia"/>
                <w:sz w:val="24"/>
                <w:szCs w:val="24"/>
                <w:lang w:val="en-US" w:eastAsia="zh-CN"/>
              </w:rPr>
              <w:t>能源绩效</w:t>
            </w:r>
          </w:p>
          <w:p>
            <w:pPr>
              <w:pStyle w:val="2"/>
              <w:rPr>
                <w:rFonts w:hint="eastAsia"/>
                <w:sz w:val="24"/>
                <w:szCs w:val="24"/>
                <w:lang w:val="en-US" w:eastAsia="zh-CN"/>
              </w:rPr>
            </w:pPr>
            <w:r>
              <w:rPr>
                <w:rFonts w:hint="eastAsia"/>
                <w:sz w:val="24"/>
                <w:szCs w:val="24"/>
                <w:lang w:val="en-US" w:eastAsia="zh-CN"/>
              </w:rPr>
              <w:t>预拌混凝土2020年、2021年、2022年1-7月份的能耗、产量、产值如下表：</w:t>
            </w:r>
          </w:p>
          <w:p>
            <w:pPr>
              <w:pStyle w:val="2"/>
              <w:rPr>
                <w:rFonts w:hint="default"/>
                <w:sz w:val="24"/>
                <w:szCs w:val="24"/>
                <w:lang w:val="en-US" w:eastAsia="zh-CN"/>
              </w:rPr>
            </w:pPr>
            <w:r>
              <w:rPr>
                <w:rFonts w:hint="eastAsia"/>
                <w:sz w:val="24"/>
                <w:szCs w:val="24"/>
                <w:lang w:val="en-US" w:eastAsia="zh-CN"/>
              </w:rPr>
              <w:t>2020年综合能耗为421120kgce，产量481400m³，单位产品能耗为0.87kgce/m³；</w:t>
            </w:r>
          </w:p>
          <w:p>
            <w:pPr>
              <w:pStyle w:val="2"/>
              <w:rPr>
                <w:rFonts w:hint="eastAsia"/>
                <w:sz w:val="24"/>
                <w:szCs w:val="24"/>
                <w:lang w:val="en-US" w:eastAsia="zh-CN"/>
              </w:rPr>
            </w:pPr>
            <w:r>
              <w:rPr>
                <w:rFonts w:hint="eastAsia"/>
                <w:sz w:val="24"/>
                <w:szCs w:val="24"/>
                <w:lang w:val="en-US" w:eastAsia="zh-CN"/>
              </w:rPr>
              <w:t>2021年综合能耗为451910kgce，产量518357m³，单位产品能耗为0.87kgce/m³；</w:t>
            </w:r>
          </w:p>
          <w:p>
            <w:pPr>
              <w:pStyle w:val="2"/>
              <w:rPr>
                <w:rFonts w:hint="default"/>
                <w:sz w:val="24"/>
                <w:szCs w:val="24"/>
                <w:lang w:val="en-US" w:eastAsia="zh-CN"/>
              </w:rPr>
            </w:pPr>
            <w:r>
              <w:rPr>
                <w:rFonts w:hint="eastAsia"/>
                <w:sz w:val="24"/>
                <w:szCs w:val="24"/>
                <w:lang w:val="en-US" w:eastAsia="zh-CN"/>
              </w:rPr>
              <w:t>2022年1-7月份综合能耗为161920kgce，产量174053m³，单位产品能耗为0.93kgce/m³；</w:t>
            </w:r>
          </w:p>
          <w:p>
            <w:pPr>
              <w:pStyle w:val="2"/>
              <w:rPr>
                <w:rFonts w:hint="eastAsia"/>
                <w:sz w:val="24"/>
                <w:szCs w:val="24"/>
                <w:lang w:val="en-US" w:eastAsia="zh-CN"/>
              </w:rPr>
            </w:pPr>
            <w:r>
              <w:drawing>
                <wp:inline distT="0" distB="0" distL="114300" distR="114300">
                  <wp:extent cx="6746875" cy="4121150"/>
                  <wp:effectExtent l="5080" t="5080" r="4445" b="1397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2"/>
              <w:rPr>
                <w:rFonts w:hint="default"/>
                <w:sz w:val="24"/>
                <w:szCs w:val="24"/>
                <w:lang w:val="en-US" w:eastAsia="zh-CN"/>
              </w:rPr>
            </w:pPr>
            <w:r>
              <w:rPr>
                <w:rFonts w:hint="eastAsia"/>
                <w:sz w:val="24"/>
                <w:szCs w:val="24"/>
                <w:lang w:val="en-US" w:eastAsia="zh-CN"/>
              </w:rPr>
              <w:t>上图红线为限额，可以看出满足限额，但是2022年1-7月份单位产品能耗有升高的趋势，应引起注意；</w:t>
            </w:r>
          </w:p>
          <w:p>
            <w:pPr>
              <w:pStyle w:val="2"/>
              <w:rPr>
                <w:rFonts w:hint="eastAsia"/>
                <w:sz w:val="24"/>
                <w:szCs w:val="24"/>
                <w:lang w:val="en-US" w:eastAsia="zh-CN"/>
              </w:rPr>
            </w:pPr>
          </w:p>
          <w:p>
            <w:pPr>
              <w:pStyle w:val="2"/>
              <w:rPr>
                <w:rFonts w:hint="eastAsia"/>
                <w:sz w:val="24"/>
                <w:szCs w:val="24"/>
                <w:lang w:val="en-US" w:eastAsia="zh-CN"/>
              </w:rPr>
            </w:pPr>
            <w:r>
              <w:rPr>
                <w:rFonts w:hint="eastAsia"/>
                <w:sz w:val="24"/>
                <w:szCs w:val="24"/>
                <w:lang w:val="en-US" w:eastAsia="zh-CN"/>
              </w:rPr>
              <w:t>预拌砂浆2021年、2022年1-7月份的能耗、产量、产值如下表：（砂浆从2021年3月份开始生产）</w:t>
            </w:r>
          </w:p>
          <w:p>
            <w:pPr>
              <w:pStyle w:val="2"/>
              <w:rPr>
                <w:rFonts w:hint="eastAsia"/>
                <w:sz w:val="24"/>
                <w:szCs w:val="24"/>
                <w:lang w:val="en-US" w:eastAsia="zh-CN"/>
              </w:rPr>
            </w:pPr>
            <w:r>
              <w:rPr>
                <w:rFonts w:hint="eastAsia"/>
                <w:sz w:val="24"/>
                <w:szCs w:val="24"/>
                <w:lang w:val="en-US" w:eastAsia="zh-CN"/>
              </w:rPr>
              <w:t>2021年综合能耗为27620kgce，产量53695.5t，单位产品能耗为0.51kgce/t；</w:t>
            </w:r>
          </w:p>
          <w:p>
            <w:pPr>
              <w:pStyle w:val="2"/>
              <w:rPr>
                <w:rFonts w:hint="eastAsia"/>
                <w:sz w:val="24"/>
                <w:szCs w:val="24"/>
                <w:lang w:val="en-US" w:eastAsia="zh-CN"/>
              </w:rPr>
            </w:pPr>
            <w:r>
              <w:rPr>
                <w:rFonts w:hint="eastAsia"/>
                <w:sz w:val="24"/>
                <w:szCs w:val="24"/>
                <w:lang w:val="en-US" w:eastAsia="zh-CN"/>
              </w:rPr>
              <w:t>2022年1-7月份综合能耗为23290kgce，产量58776t，单位产品能耗为0.396kgce/t；</w:t>
            </w:r>
          </w:p>
          <w:p>
            <w:pPr>
              <w:pStyle w:val="2"/>
              <w:rPr>
                <w:rFonts w:hint="default"/>
                <w:sz w:val="24"/>
                <w:szCs w:val="24"/>
                <w:lang w:val="en-US" w:eastAsia="zh-CN"/>
              </w:rPr>
            </w:pPr>
            <w:r>
              <w:drawing>
                <wp:inline distT="0" distB="0" distL="114300" distR="114300">
                  <wp:extent cx="6709410" cy="2727960"/>
                  <wp:effectExtent l="4445" t="4445" r="17145" b="10795"/>
                  <wp:docPr id="2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2"/>
              <w:rPr>
                <w:rFonts w:hint="default"/>
                <w:sz w:val="24"/>
                <w:szCs w:val="24"/>
                <w:lang w:val="en-US" w:eastAsia="zh-CN"/>
              </w:rPr>
            </w:pPr>
            <w:r>
              <w:rPr>
                <w:rFonts w:hint="eastAsia"/>
                <w:sz w:val="24"/>
                <w:szCs w:val="24"/>
                <w:lang w:val="en-US" w:eastAsia="zh-CN"/>
              </w:rPr>
              <w:t>因预拌砂浆从2021年3月开始生产，只有两年的数据，对照北京地方能耗限额标准的先进值0.85kgce/t，本公司2021年、2022年1-7月份，有逐步下降的趋势，完成较好。</w:t>
            </w:r>
          </w:p>
          <w:p>
            <w:pPr>
              <w:pStyle w:val="2"/>
              <w:rPr>
                <w:rFonts w:hint="default"/>
                <w:color w:val="0000FF"/>
                <w:sz w:val="24"/>
                <w:szCs w:val="24"/>
                <w:lang w:val="en-US" w:eastAsia="zh-CN"/>
              </w:rPr>
            </w:pPr>
            <w:r>
              <w:rPr>
                <w:rFonts w:hint="eastAsia"/>
                <w:color w:val="0000FF"/>
                <w:sz w:val="24"/>
                <w:szCs w:val="24"/>
                <w:lang w:val="en-US" w:eastAsia="zh-CN"/>
              </w:rPr>
              <w:t>因产品运输外包，运输能耗无法统计，所以不涉及运输能耗。</w:t>
            </w:r>
          </w:p>
          <w:p>
            <w:pPr>
              <w:pStyle w:val="2"/>
              <w:rPr>
                <w:rFonts w:hint="default"/>
                <w:sz w:val="24"/>
                <w:szCs w:val="24"/>
                <w:lang w:val="en-US" w:eastAsia="zh-CN"/>
              </w:rPr>
            </w:pPr>
          </w:p>
          <w:p>
            <w:pPr>
              <w:numPr>
                <w:ilvl w:val="0"/>
                <w:numId w:val="4"/>
              </w:numPr>
              <w:rPr>
                <w:rFonts w:hint="eastAsia"/>
                <w:sz w:val="24"/>
                <w:szCs w:val="24"/>
                <w:lang w:val="en-US" w:eastAsia="zh-CN"/>
              </w:rPr>
            </w:pPr>
            <w:r>
              <w:rPr>
                <w:rFonts w:hint="eastAsia"/>
                <w:sz w:val="24"/>
                <w:szCs w:val="24"/>
                <w:lang w:val="en-US" w:eastAsia="zh-CN"/>
              </w:rPr>
              <w:t>现场巡视情况：</w:t>
            </w:r>
          </w:p>
          <w:p>
            <w:pPr>
              <w:pStyle w:val="2"/>
              <w:numPr>
                <w:ilvl w:val="0"/>
                <w:numId w:val="0"/>
              </w:numPr>
              <w:rPr>
                <w:rFonts w:hint="default"/>
                <w:lang w:val="en-US" w:eastAsia="zh-CN"/>
              </w:rPr>
            </w:pPr>
            <w:r>
              <w:rPr>
                <w:rFonts w:hint="eastAsia"/>
                <w:lang w:val="en-US" w:eastAsia="zh-CN"/>
              </w:rPr>
              <w:t>公司有三条生产线，二条预拌混凝土生产线，一条预拌砂浆生产线，各个操作岗位都有作业指导书，</w:t>
            </w:r>
          </w:p>
          <w:p>
            <w:pPr>
              <w:rPr>
                <w:rFonts w:hint="eastAsia"/>
                <w:sz w:val="24"/>
                <w:szCs w:val="24"/>
                <w:lang w:val="en-US" w:eastAsia="zh-CN"/>
              </w:rPr>
            </w:pPr>
            <w:r>
              <w:rPr>
                <w:rFonts w:hint="eastAsia"/>
                <w:sz w:val="24"/>
                <w:szCs w:val="24"/>
                <w:lang w:val="en-US" w:eastAsia="zh-CN"/>
              </w:rPr>
              <w:t>现场查看生产控制和设备运行情况，部分生产设备正在运行，现场生产秩序良好，未发现空运转现象；</w:t>
            </w:r>
          </w:p>
          <w:p>
            <w:pPr>
              <w:rPr>
                <w:rFonts w:hint="default"/>
                <w:sz w:val="24"/>
                <w:szCs w:val="24"/>
                <w:lang w:val="en-US" w:eastAsia="zh-CN"/>
              </w:rPr>
            </w:pPr>
          </w:p>
          <w:p>
            <w:pPr>
              <w:rPr>
                <w:rFonts w:hint="eastAsia"/>
                <w:sz w:val="24"/>
                <w:szCs w:val="24"/>
                <w:lang w:val="en-US" w:eastAsia="zh-CN"/>
              </w:rPr>
            </w:pPr>
            <w:r>
              <w:rPr>
                <w:rFonts w:hint="eastAsia"/>
                <w:sz w:val="24"/>
                <w:szCs w:val="24"/>
                <w:lang w:val="en-US" w:eastAsia="zh-CN"/>
              </w:rPr>
              <w:t>九、生产控制及设备运行情况：</w:t>
            </w:r>
          </w:p>
          <w:p>
            <w:pPr>
              <w:rPr>
                <w:rFonts w:hint="default"/>
                <w:sz w:val="24"/>
                <w:szCs w:val="24"/>
                <w:lang w:val="en-US" w:eastAsia="zh-CN"/>
              </w:rPr>
            </w:pPr>
            <w:r>
              <w:rPr>
                <w:rFonts w:hint="eastAsia"/>
                <w:sz w:val="24"/>
                <w:szCs w:val="24"/>
                <w:lang w:val="en-US" w:eastAsia="zh-CN"/>
              </w:rPr>
              <w:t>公司制定有操作规程，在生产过程中严格按照操作规程进行，设备运转良好。</w:t>
            </w:r>
          </w:p>
          <w:p>
            <w:pPr>
              <w:rPr>
                <w:rFonts w:hint="eastAsia"/>
                <w:sz w:val="24"/>
                <w:szCs w:val="24"/>
                <w:lang w:val="en-US" w:eastAsia="zh-CN"/>
              </w:rPr>
            </w:pPr>
            <w:r>
              <w:rPr>
                <w:rFonts w:hint="eastAsia"/>
                <w:sz w:val="24"/>
                <w:szCs w:val="24"/>
                <w:lang w:val="en-US" w:eastAsia="zh-CN"/>
              </w:rPr>
              <w:t>（1）公司建立了能源管理和用能奖惩制度，将用能指标分解，定期考核。</w:t>
            </w:r>
          </w:p>
          <w:p>
            <w:pPr>
              <w:rPr>
                <w:rFonts w:hint="eastAsia"/>
                <w:sz w:val="24"/>
                <w:szCs w:val="24"/>
                <w:lang w:val="en-US" w:eastAsia="zh-CN"/>
              </w:rPr>
            </w:pPr>
            <w:r>
              <w:rPr>
                <w:rFonts w:hint="eastAsia"/>
                <w:sz w:val="24"/>
                <w:szCs w:val="24"/>
                <w:lang w:val="en-US" w:eastAsia="zh-CN"/>
              </w:rPr>
              <w:t>按要求建立能耗计量、统计制度，建立能耗测试数据、能耗核算和分析结果的文件档案，并对文件进行受控管理。 </w:t>
            </w:r>
          </w:p>
          <w:p>
            <w:pPr>
              <w:rPr>
                <w:rFonts w:hint="eastAsia"/>
                <w:sz w:val="24"/>
                <w:szCs w:val="24"/>
                <w:lang w:val="en-US" w:eastAsia="zh-CN"/>
              </w:rPr>
            </w:pPr>
            <w:r>
              <w:rPr>
                <w:rFonts w:hint="eastAsia"/>
                <w:sz w:val="24"/>
                <w:szCs w:val="24"/>
                <w:lang w:val="en-US" w:eastAsia="zh-CN"/>
              </w:rPr>
              <w:t>根据GB 17167和JJF 1356的要求配备和使用能源计量器具和仪器仪表，完善能源计量管理，能源计量数据应真实、准确和完整，并有可溯源的原始记录。</w:t>
            </w:r>
          </w:p>
          <w:p>
            <w:pPr>
              <w:rPr>
                <w:rFonts w:hint="eastAsia"/>
                <w:sz w:val="24"/>
                <w:szCs w:val="24"/>
                <w:lang w:val="en-US" w:eastAsia="zh-CN"/>
              </w:rPr>
            </w:pPr>
            <w:r>
              <w:rPr>
                <w:rFonts w:hint="eastAsia"/>
                <w:sz w:val="24"/>
                <w:szCs w:val="24"/>
                <w:lang w:val="en-US" w:eastAsia="zh-CN"/>
              </w:rPr>
              <w:t>（2）节能技术措施 </w:t>
            </w:r>
          </w:p>
          <w:p>
            <w:pPr>
              <w:rPr>
                <w:rFonts w:hint="eastAsia"/>
                <w:sz w:val="24"/>
                <w:szCs w:val="24"/>
                <w:lang w:val="en-US" w:eastAsia="zh-CN"/>
              </w:rPr>
            </w:pPr>
            <w:r>
              <w:rPr>
                <w:rFonts w:hint="eastAsia"/>
                <w:sz w:val="24"/>
                <w:szCs w:val="24"/>
                <w:lang w:val="en-US" w:eastAsia="zh-CN"/>
              </w:rPr>
              <w:t>依靠技术进步，淘汰落后工艺和设备，采用有效节能的新技术、新工艺、新材料，新能源和可再生能源，提高能源利用效率。 </w:t>
            </w:r>
          </w:p>
          <w:p>
            <w:pPr>
              <w:rPr>
                <w:rFonts w:hint="eastAsia"/>
                <w:sz w:val="24"/>
                <w:szCs w:val="24"/>
                <w:lang w:val="en-US" w:eastAsia="zh-CN"/>
              </w:rPr>
            </w:pPr>
            <w:r>
              <w:rPr>
                <w:rFonts w:hint="eastAsia"/>
                <w:sz w:val="24"/>
                <w:szCs w:val="24"/>
                <w:lang w:val="en-US" w:eastAsia="zh-CN"/>
              </w:rPr>
              <w:t xml:space="preserve">在用的各种通用耗能设备符合相关的国家用能产品经济运行标准要求，达到经济运行状态。  </w:t>
            </w:r>
          </w:p>
          <w:p>
            <w:pPr>
              <w:rPr>
                <w:rFonts w:hint="default"/>
                <w:sz w:val="24"/>
                <w:szCs w:val="24"/>
                <w:lang w:val="en-US" w:eastAsia="zh-CN"/>
              </w:rPr>
            </w:pPr>
            <w:r>
              <w:rPr>
                <w:rFonts w:hint="eastAsia"/>
                <w:sz w:val="24"/>
                <w:szCs w:val="24"/>
                <w:lang w:val="en-US" w:eastAsia="zh-CN"/>
              </w:rPr>
              <w:t>（2）工序在生产过程中最大限度地加快速率，保证节能效果。</w:t>
            </w:r>
          </w:p>
        </w:tc>
        <w:tc>
          <w:tcPr>
            <w:tcW w:w="7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监视、分析和评价</w:t>
            </w:r>
          </w:p>
        </w:tc>
        <w:tc>
          <w:tcPr>
            <w:tcW w:w="960" w:type="dxa"/>
          </w:tcPr>
          <w:p>
            <w:pPr>
              <w:rPr>
                <w:rFonts w:hint="default"/>
                <w:sz w:val="24"/>
                <w:szCs w:val="24"/>
                <w:lang w:val="en-US" w:eastAsia="zh-CN"/>
              </w:rPr>
            </w:pPr>
            <w:r>
              <w:rPr>
                <w:rFonts w:hint="eastAsia"/>
                <w:sz w:val="24"/>
                <w:szCs w:val="24"/>
                <w:lang w:val="en-US" w:eastAsia="zh-CN"/>
              </w:rPr>
              <w:t>9.1.1</w:t>
            </w:r>
          </w:p>
        </w:tc>
        <w:tc>
          <w:tcPr>
            <w:tcW w:w="10852" w:type="dxa"/>
          </w:tcPr>
          <w:p>
            <w:pPr>
              <w:pStyle w:val="2"/>
              <w:rPr>
                <w:rFonts w:hint="eastAsia"/>
                <w:lang w:val="en-US" w:eastAsia="zh-CN"/>
              </w:rPr>
            </w:pPr>
            <w:r>
              <w:rPr>
                <w:rFonts w:hint="eastAsia"/>
                <w:lang w:val="en-US" w:eastAsia="zh-CN"/>
              </w:rPr>
              <w:t>预拌混凝土2020年、2021年、2022年1-7月份的能耗、产量、产值如下表：</w:t>
            </w:r>
          </w:p>
          <w:p>
            <w:pPr>
              <w:pStyle w:val="2"/>
              <w:rPr>
                <w:rFonts w:hint="default"/>
                <w:lang w:val="en-US" w:eastAsia="zh-CN"/>
              </w:rPr>
            </w:pPr>
            <w:r>
              <w:rPr>
                <w:rFonts w:hint="eastAsia"/>
                <w:lang w:val="en-US" w:eastAsia="zh-CN"/>
              </w:rPr>
              <w:t>2020年综合能耗为421120kgce，产量481400m³，单位产品能耗为0.87kgce/m³；</w:t>
            </w:r>
          </w:p>
          <w:p>
            <w:pPr>
              <w:pStyle w:val="2"/>
              <w:rPr>
                <w:rFonts w:hint="eastAsia"/>
                <w:lang w:val="en-US" w:eastAsia="zh-CN"/>
              </w:rPr>
            </w:pPr>
            <w:r>
              <w:rPr>
                <w:rFonts w:hint="eastAsia"/>
                <w:lang w:val="en-US" w:eastAsia="zh-CN"/>
              </w:rPr>
              <w:t>2021年综合能耗为451910kgce，产量518357m³，单位产品能耗为0.87kgce/m³；</w:t>
            </w:r>
          </w:p>
          <w:p>
            <w:pPr>
              <w:pStyle w:val="2"/>
              <w:rPr>
                <w:rFonts w:hint="eastAsia"/>
                <w:lang w:val="en-US" w:eastAsia="zh-CN"/>
              </w:rPr>
            </w:pPr>
            <w:r>
              <w:rPr>
                <w:rFonts w:hint="eastAsia"/>
                <w:lang w:val="en-US" w:eastAsia="zh-CN"/>
              </w:rPr>
              <w:t>2022年1-7月份综合能耗为161920kgce，产量174053m³，单位产品能耗为0.93kgce/m³；</w:t>
            </w:r>
          </w:p>
          <w:p>
            <w:pPr>
              <w:pStyle w:val="2"/>
              <w:rPr>
                <w:rFonts w:hint="default"/>
                <w:lang w:val="en-US" w:eastAsia="zh-CN"/>
              </w:rPr>
            </w:pPr>
            <w:r>
              <w:rPr>
                <w:rFonts w:hint="eastAsia"/>
                <w:sz w:val="24"/>
                <w:szCs w:val="24"/>
                <w:lang w:val="en-US" w:eastAsia="zh-CN"/>
              </w:rPr>
              <w:t>2022年1-7月份单位产品能耗有升高的趋势，应引起注意；</w:t>
            </w:r>
          </w:p>
          <w:p>
            <w:pPr>
              <w:rPr>
                <w:rFonts w:hint="default"/>
                <w:lang w:val="en-US" w:eastAsia="zh-CN"/>
              </w:rPr>
            </w:pPr>
          </w:p>
          <w:p>
            <w:pPr>
              <w:pStyle w:val="2"/>
              <w:rPr>
                <w:rFonts w:hint="eastAsia"/>
                <w:sz w:val="24"/>
                <w:szCs w:val="24"/>
                <w:lang w:val="en-US" w:eastAsia="zh-CN"/>
              </w:rPr>
            </w:pPr>
            <w:r>
              <w:rPr>
                <w:rFonts w:hint="eastAsia"/>
                <w:sz w:val="24"/>
                <w:szCs w:val="24"/>
                <w:lang w:val="en-US" w:eastAsia="zh-CN"/>
              </w:rPr>
              <w:t>预拌砂浆2021年、2022年1-7月份的能耗、产量、产值如下表：（砂浆从2021年3月份开始生产）</w:t>
            </w:r>
          </w:p>
          <w:p>
            <w:pPr>
              <w:pStyle w:val="2"/>
              <w:rPr>
                <w:rFonts w:hint="eastAsia"/>
                <w:sz w:val="24"/>
                <w:szCs w:val="24"/>
                <w:lang w:val="en-US" w:eastAsia="zh-CN"/>
              </w:rPr>
            </w:pPr>
            <w:r>
              <w:rPr>
                <w:rFonts w:hint="eastAsia"/>
                <w:sz w:val="24"/>
                <w:szCs w:val="24"/>
                <w:lang w:val="en-US" w:eastAsia="zh-CN"/>
              </w:rPr>
              <w:t>2021年综合能耗为27620kgce，产量53695.5t，单位产品能耗为0.51kgce/t；</w:t>
            </w:r>
          </w:p>
          <w:p>
            <w:pPr>
              <w:pStyle w:val="2"/>
              <w:rPr>
                <w:rFonts w:hint="eastAsia"/>
                <w:sz w:val="24"/>
                <w:szCs w:val="24"/>
                <w:lang w:val="en-US" w:eastAsia="zh-CN"/>
              </w:rPr>
            </w:pPr>
            <w:r>
              <w:rPr>
                <w:rFonts w:hint="eastAsia"/>
                <w:sz w:val="24"/>
                <w:szCs w:val="24"/>
                <w:lang w:val="en-US" w:eastAsia="zh-CN"/>
              </w:rPr>
              <w:t>2022年1-7月份综合能耗为23290kgce，产量58776t，单位产品能耗为0.396kgce/t；</w:t>
            </w:r>
          </w:p>
          <w:p>
            <w:pPr>
              <w:pStyle w:val="2"/>
              <w:rPr>
                <w:rFonts w:hint="default"/>
                <w:lang w:val="en-US" w:eastAsia="zh-CN"/>
              </w:rPr>
            </w:pPr>
            <w:r>
              <w:rPr>
                <w:rFonts w:hint="eastAsia"/>
                <w:sz w:val="24"/>
                <w:szCs w:val="24"/>
                <w:lang w:val="en-US" w:eastAsia="zh-CN"/>
              </w:rPr>
              <w:t>因预拌砂浆从2021年3月开始生产，只有两年的数据，对照北京地方能耗限额标准的先进值0.85kgce/t，本公司2021年、2022年1-7月份，有逐步下降的趋势，完成较好。</w:t>
            </w:r>
          </w:p>
        </w:tc>
        <w:tc>
          <w:tcPr>
            <w:tcW w:w="737" w:type="dxa"/>
          </w:tcPr>
          <w:p>
            <w:pPr>
              <w:rPr>
                <w:rFonts w:hint="eastAsia"/>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合规性评价</w:t>
            </w:r>
          </w:p>
        </w:tc>
        <w:tc>
          <w:tcPr>
            <w:tcW w:w="960" w:type="dxa"/>
          </w:tcPr>
          <w:p>
            <w:pPr>
              <w:rPr>
                <w:rFonts w:hint="default"/>
                <w:color w:val="0000FF"/>
                <w:sz w:val="24"/>
                <w:szCs w:val="24"/>
                <w:lang w:val="en-US" w:eastAsia="zh-CN"/>
              </w:rPr>
            </w:pPr>
            <w:r>
              <w:rPr>
                <w:rFonts w:hint="eastAsia"/>
                <w:sz w:val="24"/>
                <w:szCs w:val="24"/>
                <w:lang w:val="en-US" w:eastAsia="zh-CN"/>
              </w:rPr>
              <w:t>9.1.2/4.2</w:t>
            </w:r>
          </w:p>
        </w:tc>
        <w:tc>
          <w:tcPr>
            <w:tcW w:w="10852" w:type="dxa"/>
          </w:tcPr>
          <w:p>
            <w:pPr>
              <w:rPr>
                <w:rFonts w:hint="default"/>
                <w:sz w:val="24"/>
                <w:szCs w:val="24"/>
                <w:lang w:val="en-US" w:eastAsia="zh-CN"/>
              </w:rPr>
            </w:pPr>
            <w:r>
              <w:rPr>
                <w:rFonts w:hint="eastAsia"/>
                <w:sz w:val="24"/>
                <w:szCs w:val="24"/>
                <w:lang w:val="en-US" w:eastAsia="zh-CN"/>
              </w:rPr>
              <w:t>提供2022年3月16日企业组织的合规性评价报告及编制的《能源法律法规清单》识别法律法规、相关标准共40项；包括：中华人民共和国节约能源法、清洁生产法、计量法、GB/T23331-2020能源管理体系 要求及使用指南等。</w:t>
            </w:r>
          </w:p>
          <w:p>
            <w:pPr>
              <w:rPr>
                <w:rFonts w:hint="eastAsia"/>
                <w:sz w:val="24"/>
                <w:szCs w:val="24"/>
                <w:lang w:val="en-US" w:eastAsia="zh-CN"/>
              </w:rPr>
            </w:pPr>
            <w:r>
              <w:rPr>
                <w:rFonts w:hint="eastAsia"/>
                <w:sz w:val="24"/>
                <w:szCs w:val="24"/>
                <w:lang w:val="en-US" w:eastAsia="zh-CN"/>
              </w:rPr>
              <w:t>提供《能源管理体系法律、法规及其它要求合规性评价报告》对识别的40项法律法规、标准进行合规性评价。</w:t>
            </w:r>
          </w:p>
          <w:p>
            <w:pPr>
              <w:rPr>
                <w:rFonts w:hint="eastAsia"/>
                <w:sz w:val="24"/>
                <w:szCs w:val="24"/>
                <w:lang w:val="en-US" w:eastAsia="zh-CN"/>
              </w:rPr>
            </w:pPr>
            <w:r>
              <w:rPr>
                <w:rFonts w:hint="eastAsia"/>
                <w:sz w:val="24"/>
                <w:szCs w:val="24"/>
                <w:lang w:val="en-US" w:eastAsia="zh-CN"/>
              </w:rPr>
              <w:t>经评价组人员的综合评价，公司严格贯彻执行国家、地方相关法律法规和其它标准要求，通过多方面、多渠道去节约能源，使公司在能源消耗方面取得了一定的成效。</w:t>
            </w:r>
          </w:p>
          <w:p>
            <w:pPr>
              <w:rPr>
                <w:rFonts w:hint="default"/>
                <w:sz w:val="24"/>
                <w:szCs w:val="24"/>
                <w:lang w:val="en-US" w:eastAsia="zh-CN"/>
              </w:rPr>
            </w:pPr>
            <w:r>
              <w:rPr>
                <w:rFonts w:hint="eastAsia"/>
                <w:sz w:val="24"/>
                <w:szCs w:val="24"/>
                <w:lang w:val="en-US" w:eastAsia="zh-CN"/>
              </w:rPr>
              <w:t>评价结论：评价组人员一致认为公司遵守国家、地方法律法规和其它要求符合、有效；全部合规。</w:t>
            </w:r>
          </w:p>
        </w:tc>
        <w:tc>
          <w:tcPr>
            <w:tcW w:w="737" w:type="dxa"/>
          </w:tcPr>
          <w:p>
            <w:pPr>
              <w:pStyle w:val="2"/>
              <w:rPr>
                <w:rFonts w:hint="eastAsia"/>
                <w:color w:val="0000FF"/>
                <w:sz w:val="24"/>
                <w:szCs w:val="24"/>
                <w:lang w:val="en-US" w:eastAsia="zh-CN"/>
              </w:rPr>
            </w:pPr>
          </w:p>
          <w:p>
            <w:pPr>
              <w:pStyle w:val="2"/>
              <w:rPr>
                <w:rFonts w:hint="eastAsia"/>
                <w:color w:val="0000FF"/>
                <w:sz w:val="24"/>
                <w:szCs w:val="24"/>
                <w:lang w:val="en-US" w:eastAsia="zh-CN"/>
              </w:rPr>
            </w:pPr>
          </w:p>
          <w:p>
            <w:pPr>
              <w:pStyle w:val="2"/>
              <w:rPr>
                <w:rFonts w:hint="default"/>
                <w:color w:val="0000FF"/>
                <w:sz w:val="24"/>
                <w:szCs w:val="24"/>
                <w:lang w:val="en-US" w:eastAsia="zh-CN"/>
              </w:rPr>
            </w:pPr>
            <w:r>
              <w:rPr>
                <w:rFonts w:hint="eastAsia"/>
                <w:color w:val="0000FF"/>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160" w:type="dxa"/>
          </w:tcPr>
          <w:p>
            <w:pPr>
              <w:rPr>
                <w:rFonts w:hint="default"/>
                <w:sz w:val="24"/>
                <w:szCs w:val="24"/>
                <w:lang w:val="en-US" w:eastAsia="zh-CN"/>
              </w:rPr>
            </w:pPr>
            <w:r>
              <w:rPr>
                <w:rFonts w:hint="eastAsia"/>
                <w:sz w:val="24"/>
                <w:szCs w:val="24"/>
                <w:lang w:val="en-US" w:eastAsia="zh-CN"/>
              </w:rPr>
              <w:t>不符合及纠正措施</w:t>
            </w:r>
          </w:p>
        </w:tc>
        <w:tc>
          <w:tcPr>
            <w:tcW w:w="960" w:type="dxa"/>
          </w:tcPr>
          <w:p>
            <w:pPr>
              <w:rPr>
                <w:rFonts w:hint="eastAsia"/>
                <w:sz w:val="24"/>
                <w:szCs w:val="24"/>
                <w:lang w:val="en-US" w:eastAsia="zh-CN"/>
              </w:rPr>
            </w:pPr>
            <w:r>
              <w:rPr>
                <w:rFonts w:hint="eastAsia"/>
                <w:sz w:val="24"/>
                <w:szCs w:val="24"/>
                <w:lang w:val="en-US" w:eastAsia="zh-CN"/>
              </w:rPr>
              <w:t>En10.1</w:t>
            </w:r>
          </w:p>
          <w:p>
            <w:pPr>
              <w:rPr>
                <w:rFonts w:hint="default"/>
                <w:sz w:val="24"/>
                <w:szCs w:val="24"/>
                <w:lang w:val="en-US" w:eastAsia="zh-CN"/>
              </w:rPr>
            </w:pPr>
          </w:p>
        </w:tc>
        <w:tc>
          <w:tcPr>
            <w:tcW w:w="10852" w:type="dxa"/>
          </w:tcPr>
          <w:p>
            <w:pPr>
              <w:rPr>
                <w:rFonts w:hint="default"/>
                <w:sz w:val="24"/>
                <w:szCs w:val="24"/>
                <w:lang w:val="en-US" w:eastAsia="zh-CN"/>
              </w:rPr>
            </w:pPr>
            <w:r>
              <w:rPr>
                <w:rFonts w:hint="eastAsia"/>
                <w:sz w:val="24"/>
                <w:szCs w:val="24"/>
                <w:lang w:val="en-US" w:eastAsia="zh-CN"/>
              </w:rPr>
              <w:t>经近三年的单位产品能耗分析得出，混凝土2020年单位产品能耗为：0.87kgce/m³。2021年的单位产品能耗为：0.87kgce/m³，2022年1-7月份的单位产品能耗为：0.93kgce/m³。2022年1-7月份有所升高，生产部没有进行原因分析，也没有制定纠正措施。</w:t>
            </w:r>
          </w:p>
        </w:tc>
        <w:tc>
          <w:tcPr>
            <w:tcW w:w="737" w:type="dxa"/>
          </w:tcPr>
          <w:p>
            <w:pPr>
              <w:rPr>
                <w:rFonts w:hint="default"/>
                <w:sz w:val="24"/>
                <w:szCs w:val="24"/>
                <w:lang w:val="en-US" w:eastAsia="zh-CN"/>
              </w:rPr>
            </w:pPr>
          </w:p>
          <w:p>
            <w:pPr>
              <w:rPr>
                <w:rFonts w:hint="default"/>
                <w:sz w:val="24"/>
                <w:szCs w:val="24"/>
                <w:lang w:val="en-US" w:eastAsia="zh-CN"/>
              </w:rPr>
            </w:pPr>
            <w:r>
              <w:rPr>
                <w:rFonts w:hint="eastAsia"/>
                <w:sz w:val="24"/>
                <w:szCs w:val="24"/>
                <w:lang w:val="en-US" w:eastAsia="zh-CN"/>
              </w:rPr>
              <w:t xml:space="preserve">  N</w:t>
            </w:r>
          </w:p>
        </w:tc>
      </w:tr>
    </w:tbl>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eastAsia="宋体"/>
                <w:sz w:val="24"/>
                <w:szCs w:val="24"/>
                <w:lang w:val="en-US" w:eastAsia="zh-CN"/>
              </w:rPr>
            </w:pPr>
            <w:r>
              <w:rPr>
                <w:rFonts w:hint="eastAsia" w:eastAsia="宋体"/>
                <w:sz w:val="24"/>
                <w:szCs w:val="24"/>
                <w:lang w:val="en-US" w:eastAsia="zh-CN"/>
              </w:rPr>
              <w:t>过程与活动、</w:t>
            </w:r>
          </w:p>
          <w:p>
            <w:pPr>
              <w:rPr>
                <w:rFonts w:hint="eastAsia" w:eastAsia="宋体"/>
                <w:sz w:val="24"/>
                <w:szCs w:val="24"/>
                <w:lang w:val="en-US" w:eastAsia="zh-CN"/>
              </w:rPr>
            </w:pPr>
            <w:r>
              <w:rPr>
                <w:rFonts w:hint="eastAsia" w:eastAsia="宋体"/>
                <w:sz w:val="24"/>
                <w:szCs w:val="24"/>
                <w:lang w:val="en-US" w:eastAsia="zh-CN"/>
              </w:rPr>
              <w:t>抽样计划</w:t>
            </w:r>
          </w:p>
        </w:tc>
        <w:tc>
          <w:tcPr>
            <w:tcW w:w="960" w:type="dxa"/>
            <w:vMerge w:val="restart"/>
            <w:vAlign w:val="center"/>
          </w:tcPr>
          <w:p>
            <w:pPr>
              <w:rPr>
                <w:rFonts w:hint="eastAsia" w:eastAsia="宋体"/>
                <w:sz w:val="24"/>
                <w:szCs w:val="24"/>
                <w:lang w:val="en-US" w:eastAsia="zh-CN"/>
              </w:rPr>
            </w:pPr>
            <w:r>
              <w:rPr>
                <w:rFonts w:hint="eastAsia" w:eastAsia="宋体"/>
                <w:sz w:val="24"/>
                <w:szCs w:val="24"/>
                <w:lang w:val="en-US" w:eastAsia="zh-CN"/>
              </w:rPr>
              <w:t>涉及</w:t>
            </w:r>
          </w:p>
          <w:p>
            <w:pPr>
              <w:rPr>
                <w:rFonts w:hint="eastAsia" w:eastAsia="宋体"/>
                <w:sz w:val="24"/>
                <w:szCs w:val="24"/>
                <w:lang w:val="en-US" w:eastAsia="zh-CN"/>
              </w:rPr>
            </w:pPr>
            <w:r>
              <w:rPr>
                <w:rFonts w:hint="eastAsia" w:eastAsia="宋体"/>
                <w:sz w:val="24"/>
                <w:szCs w:val="24"/>
                <w:lang w:val="en-US" w:eastAsia="zh-CN"/>
              </w:rPr>
              <w:t>条款</w:t>
            </w:r>
          </w:p>
        </w:tc>
        <w:tc>
          <w:tcPr>
            <w:tcW w:w="10738" w:type="dxa"/>
            <w:vAlign w:val="center"/>
          </w:tcPr>
          <w:p>
            <w:pPr>
              <w:rPr>
                <w:rFonts w:hint="eastAsia" w:eastAsia="宋体"/>
                <w:sz w:val="24"/>
                <w:szCs w:val="24"/>
                <w:lang w:val="en-US" w:eastAsia="zh-CN"/>
              </w:rPr>
            </w:pPr>
            <w:r>
              <w:rPr>
                <w:rFonts w:hint="eastAsia" w:eastAsia="宋体"/>
                <w:sz w:val="24"/>
                <w:szCs w:val="24"/>
                <w:lang w:val="en-US" w:eastAsia="zh-CN"/>
              </w:rPr>
              <w:t>受审核部门：</w:t>
            </w:r>
            <w:r>
              <w:rPr>
                <w:rFonts w:hint="eastAsia" w:cs="Times New Roman"/>
                <w:sz w:val="24"/>
                <w:szCs w:val="24"/>
                <w:lang w:val="en-US" w:eastAsia="zh-CN"/>
              </w:rPr>
              <w:t>采购部</w:t>
            </w:r>
            <w:r>
              <w:rPr>
                <w:rFonts w:hint="eastAsia" w:ascii="Times New Roman" w:hAnsi="Times New Roman" w:eastAsia="宋体" w:cs="Times New Roman"/>
                <w:sz w:val="24"/>
                <w:szCs w:val="24"/>
                <w:lang w:val="en-US" w:eastAsia="zh-CN"/>
              </w:rPr>
              <w:t xml:space="preserve">  </w:t>
            </w:r>
            <w:r>
              <w:rPr>
                <w:rFonts w:hint="eastAsia" w:eastAsia="宋体"/>
                <w:sz w:val="24"/>
                <w:szCs w:val="24"/>
                <w:lang w:val="en-US" w:eastAsia="zh-CN"/>
              </w:rPr>
              <w:t xml:space="preserve">    主管领导：</w:t>
            </w:r>
            <w:r>
              <w:rPr>
                <w:rFonts w:hint="eastAsia"/>
                <w:sz w:val="24"/>
                <w:szCs w:val="24"/>
                <w:lang w:val="en-US" w:eastAsia="zh-CN"/>
              </w:rPr>
              <w:t xml:space="preserve">张珊珊 </w:t>
            </w:r>
            <w:r>
              <w:rPr>
                <w:rFonts w:hint="eastAsia" w:eastAsia="宋体"/>
                <w:sz w:val="24"/>
                <w:szCs w:val="24"/>
                <w:lang w:val="en-US" w:eastAsia="zh-CN"/>
              </w:rPr>
              <w:t xml:space="preserve">  </w:t>
            </w:r>
            <w:r>
              <w:rPr>
                <w:rFonts w:hint="eastAsia"/>
                <w:sz w:val="24"/>
                <w:szCs w:val="24"/>
                <w:lang w:val="en-US" w:eastAsia="zh-CN"/>
              </w:rPr>
              <w:t xml:space="preserve">  </w:t>
            </w:r>
            <w:r>
              <w:rPr>
                <w:rFonts w:hint="eastAsia" w:eastAsia="宋体"/>
                <w:sz w:val="24"/>
                <w:szCs w:val="24"/>
                <w:lang w:val="en-US" w:eastAsia="zh-CN"/>
              </w:rPr>
              <w:t xml:space="preserve"> 陪同人员： </w:t>
            </w:r>
            <w:r>
              <w:rPr>
                <w:rFonts w:hint="eastAsia"/>
                <w:sz w:val="24"/>
                <w:szCs w:val="24"/>
                <w:lang w:val="en-US" w:eastAsia="zh-CN"/>
              </w:rPr>
              <w:t>云英</w:t>
            </w:r>
          </w:p>
        </w:tc>
        <w:tc>
          <w:tcPr>
            <w:tcW w:w="851" w:type="dxa"/>
            <w:vMerge w:val="restart"/>
            <w:vAlign w:val="center"/>
          </w:tcPr>
          <w:p>
            <w:pPr>
              <w:rPr>
                <w:rFonts w:hint="eastAsia" w:eastAsia="宋体"/>
                <w:sz w:val="24"/>
                <w:szCs w:val="24"/>
                <w:lang w:val="en-US" w:eastAsia="zh-CN"/>
              </w:rPr>
            </w:pPr>
            <w:r>
              <w:rPr>
                <w:rFonts w:hint="eastAsia" w:eastAsia="宋体"/>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eastAsia="宋体"/>
                <w:sz w:val="24"/>
                <w:szCs w:val="24"/>
                <w:lang w:val="en-US" w:eastAsia="zh-CN"/>
              </w:rPr>
            </w:pPr>
          </w:p>
        </w:tc>
        <w:tc>
          <w:tcPr>
            <w:tcW w:w="960" w:type="dxa"/>
            <w:vMerge w:val="continue"/>
            <w:vAlign w:val="center"/>
          </w:tcPr>
          <w:p>
            <w:pPr>
              <w:rPr>
                <w:rFonts w:hint="eastAsia" w:eastAsia="宋体"/>
                <w:sz w:val="24"/>
                <w:szCs w:val="24"/>
                <w:lang w:val="en-US" w:eastAsia="zh-CN"/>
              </w:rPr>
            </w:pPr>
          </w:p>
        </w:tc>
        <w:tc>
          <w:tcPr>
            <w:tcW w:w="10738" w:type="dxa"/>
            <w:vAlign w:val="center"/>
          </w:tcPr>
          <w:p>
            <w:pPr>
              <w:rPr>
                <w:rFonts w:hint="default" w:eastAsia="宋体"/>
                <w:sz w:val="24"/>
                <w:szCs w:val="24"/>
                <w:lang w:val="en-US" w:eastAsia="zh-CN"/>
              </w:rPr>
            </w:pPr>
            <w:r>
              <w:rPr>
                <w:rFonts w:hint="eastAsia" w:eastAsia="宋体"/>
                <w:sz w:val="24"/>
                <w:szCs w:val="24"/>
                <w:lang w:val="en-US" w:eastAsia="zh-CN"/>
              </w:rPr>
              <w:t>审核员：周涛             审核时间：2022-</w:t>
            </w:r>
            <w:r>
              <w:rPr>
                <w:rFonts w:hint="eastAsia"/>
                <w:sz w:val="24"/>
                <w:szCs w:val="24"/>
                <w:lang w:val="en-US" w:eastAsia="zh-CN"/>
              </w:rPr>
              <w:t>8</w:t>
            </w:r>
            <w:r>
              <w:rPr>
                <w:rFonts w:hint="eastAsia" w:eastAsia="宋体"/>
                <w:sz w:val="24"/>
                <w:szCs w:val="24"/>
                <w:lang w:val="en-US" w:eastAsia="zh-CN"/>
              </w:rPr>
              <w:t>-1</w:t>
            </w:r>
            <w:r>
              <w:rPr>
                <w:rFonts w:hint="eastAsia"/>
                <w:sz w:val="24"/>
                <w:szCs w:val="24"/>
                <w:lang w:val="en-US" w:eastAsia="zh-CN"/>
              </w:rPr>
              <w:t>5</w:t>
            </w:r>
          </w:p>
        </w:tc>
        <w:tc>
          <w:tcPr>
            <w:tcW w:w="851" w:type="dxa"/>
            <w:vMerge w:val="continue"/>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60" w:type="dxa"/>
            <w:vMerge w:val="continue"/>
            <w:vAlign w:val="center"/>
          </w:tcPr>
          <w:p>
            <w:pPr>
              <w:rPr>
                <w:rFonts w:hint="eastAsia" w:eastAsia="宋体"/>
                <w:sz w:val="24"/>
                <w:szCs w:val="24"/>
                <w:lang w:val="en-US" w:eastAsia="zh-CN"/>
              </w:rPr>
            </w:pPr>
          </w:p>
        </w:tc>
        <w:tc>
          <w:tcPr>
            <w:tcW w:w="960" w:type="dxa"/>
            <w:vMerge w:val="continue"/>
            <w:vAlign w:val="center"/>
          </w:tcPr>
          <w:p>
            <w:pPr>
              <w:rPr>
                <w:rFonts w:hint="eastAsia" w:eastAsia="宋体"/>
                <w:sz w:val="24"/>
                <w:szCs w:val="24"/>
                <w:lang w:val="en-US" w:eastAsia="zh-CN"/>
              </w:rPr>
            </w:pPr>
          </w:p>
        </w:tc>
        <w:tc>
          <w:tcPr>
            <w:tcW w:w="10738" w:type="dxa"/>
            <w:vAlign w:val="center"/>
          </w:tcPr>
          <w:p>
            <w:pPr>
              <w:rPr>
                <w:rFonts w:hint="eastAsia" w:eastAsia="宋体"/>
                <w:sz w:val="24"/>
                <w:szCs w:val="24"/>
                <w:lang w:val="en-US" w:eastAsia="zh-CN"/>
              </w:rPr>
            </w:pPr>
            <w:r>
              <w:rPr>
                <w:rFonts w:hint="eastAsia" w:eastAsia="宋体"/>
                <w:sz w:val="24"/>
                <w:szCs w:val="24"/>
                <w:lang w:val="en-US" w:eastAsia="zh-CN"/>
              </w:rPr>
              <w:t>审核条款：5.3 组织的岗位、职责和权限、8.1 运行的策划和控制、8.3采购。EnMS:5.3/8.1/8.3。</w:t>
            </w:r>
          </w:p>
        </w:tc>
        <w:tc>
          <w:tcPr>
            <w:tcW w:w="851" w:type="dxa"/>
            <w:vMerge w:val="continue"/>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tcPr>
          <w:p>
            <w:pPr>
              <w:rPr>
                <w:rFonts w:hint="eastAsia" w:eastAsia="宋体"/>
                <w:sz w:val="24"/>
                <w:szCs w:val="24"/>
                <w:lang w:val="en-US" w:eastAsia="zh-CN"/>
              </w:rPr>
            </w:pPr>
            <w:r>
              <w:rPr>
                <w:rFonts w:hint="eastAsia" w:eastAsia="宋体"/>
                <w:sz w:val="24"/>
                <w:szCs w:val="24"/>
                <w:lang w:val="en-US" w:eastAsia="zh-CN"/>
              </w:rPr>
              <w:t>1.组织的岗位、职责和权限，</w:t>
            </w:r>
          </w:p>
          <w:p>
            <w:pPr>
              <w:rPr>
                <w:rFonts w:hint="eastAsia" w:eastAsia="宋体"/>
                <w:sz w:val="24"/>
                <w:szCs w:val="24"/>
                <w:lang w:val="en-US" w:eastAsia="zh-CN"/>
              </w:rPr>
            </w:pPr>
            <w:r>
              <w:rPr>
                <w:rFonts w:hint="eastAsia" w:eastAsia="宋体"/>
                <w:sz w:val="24"/>
                <w:szCs w:val="24"/>
                <w:lang w:val="en-US" w:eastAsia="zh-CN"/>
              </w:rPr>
              <w:t>2.目标、能源指及其实现的策划</w:t>
            </w:r>
          </w:p>
        </w:tc>
        <w:tc>
          <w:tcPr>
            <w:tcW w:w="960" w:type="dxa"/>
          </w:tcPr>
          <w:p>
            <w:pPr>
              <w:rPr>
                <w:rFonts w:hint="eastAsia" w:eastAsia="宋体"/>
                <w:sz w:val="24"/>
                <w:szCs w:val="24"/>
                <w:lang w:val="en-US" w:eastAsia="zh-CN"/>
              </w:rPr>
            </w:pPr>
            <w:r>
              <w:rPr>
                <w:rFonts w:hint="eastAsia" w:eastAsia="宋体"/>
                <w:sz w:val="24"/>
                <w:szCs w:val="24"/>
                <w:lang w:val="en-US" w:eastAsia="zh-CN"/>
              </w:rPr>
              <w:t>5.3</w:t>
            </w:r>
          </w:p>
        </w:tc>
        <w:tc>
          <w:tcPr>
            <w:tcW w:w="10738" w:type="dxa"/>
          </w:tcPr>
          <w:p>
            <w:pPr>
              <w:rPr>
                <w:rFonts w:hint="default" w:eastAsia="宋体"/>
                <w:sz w:val="24"/>
                <w:szCs w:val="24"/>
                <w:lang w:val="en-US" w:eastAsia="zh-CN"/>
              </w:rPr>
            </w:pPr>
            <w:r>
              <w:rPr>
                <w:rFonts w:hint="eastAsia" w:cs="Times New Roman"/>
                <w:sz w:val="24"/>
                <w:szCs w:val="24"/>
                <w:lang w:val="en-US" w:eastAsia="zh-CN"/>
              </w:rPr>
              <w:t>采购部</w:t>
            </w:r>
            <w:r>
              <w:rPr>
                <w:rFonts w:hint="eastAsia" w:eastAsia="宋体"/>
                <w:sz w:val="24"/>
                <w:szCs w:val="24"/>
                <w:lang w:val="en-US" w:eastAsia="zh-CN"/>
              </w:rPr>
              <w:t>职责：</w:t>
            </w:r>
          </w:p>
          <w:p>
            <w:pPr>
              <w:rPr>
                <w:rFonts w:hint="default" w:eastAsia="宋体"/>
                <w:sz w:val="24"/>
                <w:szCs w:val="24"/>
                <w:lang w:val="en-US" w:eastAsia="zh-CN"/>
              </w:rPr>
            </w:pPr>
            <w:r>
              <w:rPr>
                <w:rFonts w:hint="default" w:eastAsia="宋体"/>
                <w:sz w:val="24"/>
                <w:szCs w:val="24"/>
                <w:lang w:val="en-US" w:eastAsia="zh-CN"/>
              </w:rPr>
              <w:t xml:space="preserve">（1）制订年度国内采购计划，落实年度采购目标； </w:t>
            </w:r>
          </w:p>
          <w:p>
            <w:pPr>
              <w:rPr>
                <w:rFonts w:hint="default" w:eastAsia="宋体"/>
                <w:sz w:val="24"/>
                <w:szCs w:val="24"/>
                <w:lang w:val="en-US" w:eastAsia="zh-CN"/>
              </w:rPr>
            </w:pPr>
            <w:r>
              <w:rPr>
                <w:rFonts w:hint="default" w:eastAsia="宋体"/>
                <w:sz w:val="24"/>
                <w:szCs w:val="24"/>
                <w:lang w:val="en-US" w:eastAsia="zh-CN"/>
              </w:rPr>
              <w:t xml:space="preserve">（2）组织合同评审、对采购合同的质量负责； </w:t>
            </w:r>
          </w:p>
          <w:p>
            <w:pPr>
              <w:rPr>
                <w:rFonts w:hint="default" w:eastAsia="宋体"/>
                <w:sz w:val="24"/>
                <w:szCs w:val="24"/>
                <w:lang w:val="en-US" w:eastAsia="zh-CN"/>
              </w:rPr>
            </w:pPr>
            <w:r>
              <w:rPr>
                <w:rFonts w:hint="default" w:eastAsia="宋体"/>
                <w:sz w:val="24"/>
                <w:szCs w:val="24"/>
                <w:lang w:val="en-US" w:eastAsia="zh-CN"/>
              </w:rPr>
              <w:t xml:space="preserve">（3）负责采购项目的报价； </w:t>
            </w:r>
          </w:p>
          <w:p>
            <w:pPr>
              <w:rPr>
                <w:rFonts w:hint="default" w:eastAsia="宋体"/>
                <w:sz w:val="24"/>
                <w:szCs w:val="24"/>
                <w:lang w:val="en-US" w:eastAsia="zh-CN"/>
              </w:rPr>
            </w:pPr>
            <w:r>
              <w:rPr>
                <w:rFonts w:hint="default" w:eastAsia="宋体"/>
                <w:sz w:val="24"/>
                <w:szCs w:val="24"/>
                <w:lang w:val="en-US" w:eastAsia="zh-CN"/>
              </w:rPr>
              <w:t xml:space="preserve">（4）采购按合同履行要求提出建议，并控制交货期进度； </w:t>
            </w:r>
          </w:p>
          <w:p>
            <w:pPr>
              <w:rPr>
                <w:rFonts w:hint="default" w:eastAsia="宋体"/>
                <w:sz w:val="24"/>
                <w:szCs w:val="24"/>
                <w:lang w:val="en-US" w:eastAsia="zh-CN"/>
              </w:rPr>
            </w:pPr>
            <w:r>
              <w:rPr>
                <w:rFonts w:hint="default" w:eastAsia="宋体"/>
                <w:sz w:val="24"/>
                <w:szCs w:val="24"/>
                <w:lang w:val="en-US" w:eastAsia="zh-CN"/>
              </w:rPr>
              <w:t xml:space="preserve">（5）定期对采购合同统计； </w:t>
            </w:r>
          </w:p>
          <w:p>
            <w:pPr>
              <w:rPr>
                <w:rFonts w:hint="default" w:eastAsia="宋体"/>
                <w:sz w:val="24"/>
                <w:szCs w:val="24"/>
                <w:lang w:val="en-US" w:eastAsia="zh-CN"/>
              </w:rPr>
            </w:pPr>
            <w:r>
              <w:rPr>
                <w:rFonts w:hint="default" w:eastAsia="宋体"/>
                <w:sz w:val="24"/>
                <w:szCs w:val="24"/>
                <w:lang w:val="en-US" w:eastAsia="zh-CN"/>
              </w:rPr>
              <w:t xml:space="preserve">（6）建立客户档案，反馈用户信息，管理客户资料； </w:t>
            </w:r>
          </w:p>
          <w:p>
            <w:pPr>
              <w:rPr>
                <w:rFonts w:hint="default" w:eastAsia="宋体"/>
                <w:sz w:val="24"/>
                <w:szCs w:val="24"/>
                <w:lang w:val="en-US" w:eastAsia="zh-CN"/>
              </w:rPr>
            </w:pPr>
            <w:r>
              <w:rPr>
                <w:rFonts w:hint="default" w:eastAsia="宋体"/>
                <w:sz w:val="24"/>
                <w:szCs w:val="24"/>
                <w:lang w:val="en-US" w:eastAsia="zh-CN"/>
              </w:rPr>
              <w:t>（7）协助生产管理部的生产计划管理工作，及时提供采购物资的规格、数量。</w:t>
            </w:r>
          </w:p>
          <w:p>
            <w:pPr>
              <w:rPr>
                <w:rFonts w:hint="default" w:eastAsia="宋体"/>
                <w:sz w:val="24"/>
                <w:szCs w:val="24"/>
                <w:lang w:val="en-US" w:eastAsia="zh-CN"/>
              </w:rPr>
            </w:pPr>
            <w:r>
              <w:rPr>
                <w:rFonts w:hint="default" w:eastAsia="宋体"/>
                <w:sz w:val="24"/>
                <w:szCs w:val="24"/>
                <w:lang w:val="en-US" w:eastAsia="zh-CN"/>
              </w:rPr>
              <w:t xml:space="preserve">（8）制定与调整产品采购价格； </w:t>
            </w:r>
          </w:p>
          <w:p>
            <w:pPr>
              <w:rPr>
                <w:rFonts w:hint="default" w:eastAsia="宋体"/>
                <w:sz w:val="24"/>
                <w:szCs w:val="24"/>
                <w:lang w:val="en-US" w:eastAsia="zh-CN"/>
              </w:rPr>
            </w:pPr>
            <w:r>
              <w:rPr>
                <w:rFonts w:hint="default" w:eastAsia="宋体"/>
                <w:sz w:val="24"/>
                <w:szCs w:val="24"/>
                <w:lang w:val="en-US" w:eastAsia="zh-CN"/>
              </w:rPr>
              <w:t xml:space="preserve">（9）做好本部门 5S 和安全管理工作； </w:t>
            </w:r>
          </w:p>
          <w:p>
            <w:pPr>
              <w:rPr>
                <w:rFonts w:hint="default" w:eastAsia="宋体"/>
                <w:sz w:val="24"/>
                <w:szCs w:val="24"/>
                <w:lang w:val="en-US" w:eastAsia="zh-CN"/>
              </w:rPr>
            </w:pPr>
            <w:r>
              <w:rPr>
                <w:rFonts w:hint="default" w:eastAsia="宋体"/>
                <w:sz w:val="24"/>
                <w:szCs w:val="24"/>
                <w:lang w:val="en-US" w:eastAsia="zh-CN"/>
              </w:rPr>
              <w:t>（10）做好上级交办的其他工作。</w:t>
            </w:r>
          </w:p>
          <w:p>
            <w:pPr>
              <w:rPr>
                <w:rFonts w:hint="default" w:eastAsia="宋体"/>
                <w:sz w:val="24"/>
                <w:szCs w:val="24"/>
                <w:lang w:val="en-US" w:eastAsia="zh-CN"/>
              </w:rPr>
            </w:pPr>
            <w:r>
              <w:rPr>
                <w:rFonts w:hint="default" w:eastAsia="宋体"/>
                <w:sz w:val="24"/>
                <w:szCs w:val="24"/>
                <w:lang w:val="en-US" w:eastAsia="zh-CN"/>
              </w:rPr>
              <w:t>（11）做好能源物资预算。</w:t>
            </w:r>
          </w:p>
        </w:tc>
        <w:tc>
          <w:tcPr>
            <w:tcW w:w="851" w:type="dxa"/>
          </w:tcPr>
          <w:p>
            <w:pPr>
              <w:rPr>
                <w:rFonts w:hint="eastAsia" w:eastAsia="宋体"/>
                <w:sz w:val="24"/>
                <w:szCs w:val="24"/>
                <w:lang w:val="en-US" w:eastAsia="zh-CN"/>
              </w:rPr>
            </w:pPr>
          </w:p>
          <w:p>
            <w:pPr>
              <w:rPr>
                <w:rFonts w:hint="eastAsia" w:eastAsia="宋体"/>
                <w:sz w:val="24"/>
                <w:szCs w:val="24"/>
                <w:lang w:val="en-US" w:eastAsia="zh-CN"/>
              </w:rPr>
            </w:pPr>
          </w:p>
          <w:p>
            <w:pPr>
              <w:pStyle w:val="13"/>
              <w:rPr>
                <w:rFonts w:hint="eastAsia" w:eastAsia="宋体"/>
                <w:sz w:val="24"/>
                <w:szCs w:val="24"/>
                <w:lang w:val="en-US" w:eastAsia="zh-CN"/>
              </w:rPr>
            </w:pPr>
          </w:p>
          <w:p>
            <w:pPr>
              <w:pStyle w:val="13"/>
              <w:rPr>
                <w:rFonts w:hint="eastAsia" w:eastAsia="宋体"/>
                <w:sz w:val="24"/>
                <w:szCs w:val="24"/>
                <w:lang w:val="en-US" w:eastAsia="zh-CN"/>
              </w:rPr>
            </w:pPr>
          </w:p>
          <w:p>
            <w:pPr>
              <w:pStyle w:val="13"/>
              <w:rPr>
                <w:rFonts w:hint="eastAsia" w:eastAsia="宋体"/>
                <w:sz w:val="24"/>
                <w:szCs w:val="24"/>
                <w:lang w:val="en-US" w:eastAsia="zh-CN"/>
              </w:rPr>
            </w:pPr>
          </w:p>
          <w:p>
            <w:pPr>
              <w:rPr>
                <w:rFonts w:hint="eastAsia" w:eastAsia="宋体"/>
                <w:sz w:val="24"/>
                <w:szCs w:val="24"/>
                <w:lang w:val="en-US" w:eastAsia="zh-CN"/>
              </w:rPr>
            </w:pPr>
            <w:r>
              <w:rPr>
                <w:rFonts w:hint="eastAsia" w:eastAsia="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160" w:type="dxa"/>
          </w:tcPr>
          <w:p>
            <w:pPr>
              <w:rPr>
                <w:rFonts w:hint="eastAsia" w:eastAsia="宋体"/>
                <w:sz w:val="24"/>
                <w:szCs w:val="24"/>
                <w:lang w:val="en-US" w:eastAsia="zh-CN"/>
              </w:rPr>
            </w:pPr>
            <w:r>
              <w:rPr>
                <w:rFonts w:hint="eastAsia" w:eastAsia="宋体"/>
                <w:sz w:val="24"/>
                <w:szCs w:val="24"/>
                <w:lang w:val="en-US" w:eastAsia="zh-CN"/>
              </w:rPr>
              <w:t>2.目标、能源指及其实现的策划</w:t>
            </w:r>
          </w:p>
        </w:tc>
        <w:tc>
          <w:tcPr>
            <w:tcW w:w="960" w:type="dxa"/>
          </w:tcPr>
          <w:p>
            <w:pPr>
              <w:rPr>
                <w:rFonts w:hint="default" w:eastAsia="宋体"/>
                <w:sz w:val="24"/>
                <w:szCs w:val="24"/>
                <w:lang w:val="en-US" w:eastAsia="zh-CN"/>
              </w:rPr>
            </w:pPr>
            <w:r>
              <w:rPr>
                <w:rFonts w:hint="eastAsia" w:eastAsia="宋体"/>
                <w:sz w:val="24"/>
                <w:szCs w:val="24"/>
                <w:lang w:val="en-US" w:eastAsia="zh-CN"/>
              </w:rPr>
              <w:t>6.2</w:t>
            </w:r>
          </w:p>
        </w:tc>
        <w:tc>
          <w:tcPr>
            <w:tcW w:w="10738" w:type="dxa"/>
          </w:tcPr>
          <w:p>
            <w:pPr>
              <w:rPr>
                <w:rFonts w:hint="default" w:eastAsia="宋体"/>
                <w:sz w:val="24"/>
                <w:szCs w:val="24"/>
                <w:lang w:val="en-US" w:eastAsia="zh-CN"/>
              </w:rPr>
            </w:pPr>
            <w:r>
              <w:rPr>
                <w:rFonts w:hint="eastAsia"/>
                <w:sz w:val="24"/>
                <w:szCs w:val="24"/>
                <w:lang w:val="en-US" w:eastAsia="zh-CN"/>
              </w:rPr>
              <w:t>采购部</w:t>
            </w:r>
            <w:r>
              <w:rPr>
                <w:rFonts w:hint="eastAsia" w:eastAsia="宋体"/>
                <w:sz w:val="24"/>
                <w:szCs w:val="24"/>
                <w:lang w:val="en-US" w:eastAsia="zh-CN"/>
              </w:rPr>
              <w:t>没有制定本部门的能源目标，执行公司的能源目标。</w:t>
            </w:r>
          </w:p>
        </w:tc>
        <w:tc>
          <w:tcPr>
            <w:tcW w:w="851" w:type="dxa"/>
          </w:tcPr>
          <w:p>
            <w:pPr>
              <w:rPr>
                <w:rFonts w:hint="eastAsia" w:eastAsia="宋体"/>
                <w:sz w:val="24"/>
                <w:szCs w:val="24"/>
                <w:lang w:val="en-US" w:eastAsia="zh-CN"/>
              </w:rPr>
            </w:pPr>
            <w:r>
              <w:rPr>
                <w:rFonts w:hint="eastAsia" w:eastAsia="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tcPr>
          <w:p>
            <w:pPr>
              <w:rPr>
                <w:rFonts w:hint="eastAsia" w:eastAsia="宋体"/>
                <w:sz w:val="24"/>
                <w:szCs w:val="24"/>
                <w:lang w:val="en-US" w:eastAsia="zh-CN"/>
              </w:rPr>
            </w:pPr>
            <w:r>
              <w:rPr>
                <w:rFonts w:hint="eastAsia" w:eastAsia="宋体"/>
                <w:sz w:val="24"/>
                <w:szCs w:val="24"/>
                <w:lang w:val="en-US" w:eastAsia="zh-CN"/>
              </w:rPr>
              <w:t>3.运行的策划和控制；</w:t>
            </w:r>
          </w:p>
          <w:p>
            <w:pPr>
              <w:rPr>
                <w:rFonts w:hint="eastAsia" w:eastAsia="宋体"/>
                <w:sz w:val="24"/>
                <w:szCs w:val="24"/>
                <w:lang w:val="en-US" w:eastAsia="zh-CN"/>
              </w:rPr>
            </w:pPr>
            <w:r>
              <w:rPr>
                <w:rFonts w:hint="eastAsia" w:eastAsia="宋体"/>
                <w:sz w:val="24"/>
                <w:szCs w:val="24"/>
                <w:lang w:val="en-US" w:eastAsia="zh-CN"/>
              </w:rPr>
              <w:t>4.采购</w:t>
            </w:r>
          </w:p>
          <w:p>
            <w:pPr>
              <w:rPr>
                <w:rFonts w:hint="default" w:eastAsia="宋体"/>
                <w:sz w:val="24"/>
                <w:szCs w:val="24"/>
                <w:lang w:val="en-US" w:eastAsia="zh-CN"/>
              </w:rPr>
            </w:pPr>
          </w:p>
        </w:tc>
        <w:tc>
          <w:tcPr>
            <w:tcW w:w="960" w:type="dxa"/>
          </w:tcPr>
          <w:p>
            <w:pPr>
              <w:rPr>
                <w:rFonts w:hint="eastAsia" w:eastAsia="宋体"/>
                <w:sz w:val="24"/>
                <w:szCs w:val="24"/>
                <w:lang w:val="en-US" w:eastAsia="zh-CN"/>
              </w:rPr>
            </w:pPr>
            <w:r>
              <w:rPr>
                <w:rFonts w:hint="eastAsia" w:eastAsia="宋体"/>
                <w:sz w:val="24"/>
                <w:szCs w:val="24"/>
                <w:lang w:val="en-US" w:eastAsia="zh-CN"/>
              </w:rPr>
              <w:t>8.1/8.3</w:t>
            </w:r>
          </w:p>
          <w:p>
            <w:pPr>
              <w:rPr>
                <w:rFonts w:hint="default" w:eastAsia="宋体"/>
                <w:sz w:val="24"/>
                <w:szCs w:val="24"/>
                <w:lang w:val="en-US" w:eastAsia="zh-CN"/>
              </w:rPr>
            </w:pPr>
          </w:p>
        </w:tc>
        <w:tc>
          <w:tcPr>
            <w:tcW w:w="10738" w:type="dxa"/>
          </w:tcPr>
          <w:p>
            <w:pPr>
              <w:rPr>
                <w:rFonts w:hint="default" w:eastAsia="宋体"/>
                <w:sz w:val="24"/>
                <w:szCs w:val="24"/>
                <w:lang w:val="en-US" w:eastAsia="zh-CN"/>
              </w:rPr>
            </w:pPr>
            <w:r>
              <w:rPr>
                <w:rFonts w:hint="eastAsia" w:eastAsia="宋体"/>
                <w:sz w:val="24"/>
                <w:szCs w:val="24"/>
                <w:lang w:val="en-US" w:eastAsia="zh-CN"/>
              </w:rPr>
              <w:t>1、提供文件化信息：《能源管理手册》《程序文件清单》《</w:t>
            </w:r>
            <w:r>
              <w:rPr>
                <w:rFonts w:hint="eastAsia"/>
                <w:sz w:val="24"/>
                <w:szCs w:val="24"/>
                <w:lang w:val="en-US" w:eastAsia="zh-CN"/>
              </w:rPr>
              <w:t>HX</w:t>
            </w:r>
            <w:r>
              <w:rPr>
                <w:rFonts w:hint="eastAsia" w:eastAsia="宋体"/>
                <w:sz w:val="24"/>
                <w:szCs w:val="24"/>
                <w:lang w:val="en-US" w:eastAsia="zh-CN"/>
              </w:rPr>
              <w:t>-SOP-E02-0001-AO采购管理制度控制程序》等，有发布，实施。有编审批。确保了其适宜性和充分性。</w:t>
            </w:r>
          </w:p>
          <w:p>
            <w:pPr>
              <w:rPr>
                <w:rFonts w:hint="default" w:eastAsia="宋体"/>
                <w:sz w:val="24"/>
                <w:szCs w:val="24"/>
                <w:lang w:val="en-US" w:eastAsia="zh-CN"/>
              </w:rPr>
            </w:pPr>
            <w:r>
              <w:rPr>
                <w:rFonts w:hint="eastAsia" w:eastAsia="宋体"/>
                <w:sz w:val="24"/>
                <w:szCs w:val="24"/>
                <w:lang w:val="en-US" w:eastAsia="zh-CN"/>
              </w:rPr>
              <w:t>2、关于能源服务、产品和设备的采购，公司规定</w:t>
            </w:r>
          </w:p>
          <w:p>
            <w:pPr>
              <w:rPr>
                <w:rFonts w:hint="eastAsia" w:eastAsia="宋体"/>
                <w:sz w:val="24"/>
                <w:szCs w:val="24"/>
                <w:lang w:val="en-US" w:eastAsia="zh-CN"/>
              </w:rPr>
            </w:pPr>
            <w:r>
              <w:rPr>
                <w:rFonts w:hint="eastAsia" w:eastAsia="宋体"/>
                <w:sz w:val="24"/>
                <w:szCs w:val="24"/>
                <w:lang w:val="en-US" w:eastAsia="zh-CN"/>
              </w:rPr>
              <w:t xml:space="preserve">a）在采购对主要能源使用具有影响的能源服务、产品和设备时，采购文件和合同中应明确能源绩效要求。 </w:t>
            </w:r>
          </w:p>
          <w:p>
            <w:pPr>
              <w:rPr>
                <w:rFonts w:hint="eastAsia" w:eastAsia="宋体"/>
                <w:sz w:val="24"/>
                <w:szCs w:val="24"/>
                <w:lang w:val="en-US" w:eastAsia="zh-CN"/>
              </w:rPr>
            </w:pPr>
            <w:r>
              <w:rPr>
                <w:rFonts w:hint="eastAsia" w:eastAsia="宋体"/>
                <w:sz w:val="24"/>
                <w:szCs w:val="24"/>
                <w:lang w:val="en-US" w:eastAsia="zh-CN"/>
              </w:rPr>
              <w:t xml:space="preserve">b）在能源服务采购时，应考虑： </w:t>
            </w:r>
          </w:p>
          <w:p>
            <w:pPr>
              <w:rPr>
                <w:rFonts w:hint="eastAsia" w:eastAsia="宋体"/>
                <w:sz w:val="24"/>
                <w:szCs w:val="24"/>
                <w:lang w:val="en-US" w:eastAsia="zh-CN"/>
              </w:rPr>
            </w:pPr>
            <w:r>
              <w:rPr>
                <w:rFonts w:hint="eastAsia" w:eastAsia="宋体"/>
                <w:sz w:val="24"/>
                <w:szCs w:val="24"/>
                <w:lang w:val="en-US" w:eastAsia="zh-CN"/>
              </w:rPr>
              <w:t xml:space="preserve">--用能设备操作人员的能力水平； </w:t>
            </w:r>
          </w:p>
          <w:p>
            <w:pPr>
              <w:rPr>
                <w:rFonts w:hint="eastAsia" w:eastAsia="宋体"/>
                <w:sz w:val="24"/>
                <w:szCs w:val="24"/>
                <w:lang w:val="en-US" w:eastAsia="zh-CN"/>
              </w:rPr>
            </w:pPr>
            <w:r>
              <w:rPr>
                <w:rFonts w:hint="eastAsia" w:eastAsia="宋体"/>
                <w:sz w:val="24"/>
                <w:szCs w:val="24"/>
                <w:lang w:val="en-US" w:eastAsia="zh-CN"/>
              </w:rPr>
              <w:t xml:space="preserve">--供应商自身的资质、信誉、技术实力、经验等； </w:t>
            </w:r>
          </w:p>
          <w:p>
            <w:pPr>
              <w:rPr>
                <w:rFonts w:hint="eastAsia" w:eastAsia="宋体"/>
                <w:sz w:val="24"/>
                <w:szCs w:val="24"/>
                <w:lang w:val="en-US" w:eastAsia="zh-CN"/>
              </w:rPr>
            </w:pPr>
            <w:r>
              <w:rPr>
                <w:rFonts w:hint="eastAsia" w:eastAsia="宋体"/>
                <w:sz w:val="24"/>
                <w:szCs w:val="24"/>
                <w:lang w:val="en-US" w:eastAsia="zh-CN"/>
              </w:rPr>
              <w:t xml:space="preserve">--能源绩效的评价方法和预期效果。 </w:t>
            </w:r>
          </w:p>
          <w:p>
            <w:pPr>
              <w:rPr>
                <w:rFonts w:hint="eastAsia" w:eastAsia="宋体"/>
                <w:sz w:val="24"/>
                <w:szCs w:val="24"/>
                <w:lang w:val="en-US" w:eastAsia="zh-CN"/>
              </w:rPr>
            </w:pPr>
            <w:r>
              <w:rPr>
                <w:rFonts w:hint="eastAsia" w:eastAsia="宋体"/>
                <w:sz w:val="24"/>
                <w:szCs w:val="24"/>
                <w:lang w:val="en-US" w:eastAsia="zh-CN"/>
              </w:rPr>
              <w:t xml:space="preserve">c）在产品和设备采购时，应考虑： </w:t>
            </w:r>
          </w:p>
          <w:p>
            <w:pPr>
              <w:rPr>
                <w:rFonts w:hint="eastAsia" w:eastAsia="宋体"/>
                <w:sz w:val="24"/>
                <w:szCs w:val="24"/>
                <w:lang w:val="en-US" w:eastAsia="zh-CN"/>
              </w:rPr>
            </w:pPr>
            <w:r>
              <w:rPr>
                <w:rFonts w:hint="eastAsia" w:eastAsia="宋体"/>
                <w:sz w:val="24"/>
                <w:szCs w:val="24"/>
                <w:lang w:val="en-US" w:eastAsia="zh-CN"/>
              </w:rPr>
              <w:t xml:space="preserve">--产品和设备的能效水平； </w:t>
            </w:r>
          </w:p>
          <w:p>
            <w:pPr>
              <w:rPr>
                <w:rFonts w:hint="eastAsia" w:eastAsia="宋体"/>
                <w:sz w:val="24"/>
                <w:szCs w:val="24"/>
                <w:lang w:val="en-US" w:eastAsia="zh-CN"/>
              </w:rPr>
            </w:pPr>
            <w:r>
              <w:rPr>
                <w:rFonts w:hint="eastAsia" w:eastAsia="宋体"/>
                <w:sz w:val="24"/>
                <w:szCs w:val="24"/>
                <w:lang w:val="en-US" w:eastAsia="zh-CN"/>
              </w:rPr>
              <w:t xml:space="preserve">--与整个用能系统的匹配程度； </w:t>
            </w:r>
          </w:p>
          <w:p>
            <w:pPr>
              <w:rPr>
                <w:rFonts w:hint="eastAsia" w:eastAsia="宋体"/>
                <w:sz w:val="24"/>
                <w:szCs w:val="24"/>
                <w:lang w:val="en-US" w:eastAsia="zh-CN"/>
              </w:rPr>
            </w:pPr>
            <w:r>
              <w:rPr>
                <w:rFonts w:hint="eastAsia" w:eastAsia="宋体"/>
                <w:sz w:val="24"/>
                <w:szCs w:val="24"/>
                <w:lang w:val="en-US" w:eastAsia="zh-CN"/>
              </w:rPr>
              <w:t xml:space="preserve">--运行经济性、稳定性和可靠性； </w:t>
            </w:r>
          </w:p>
          <w:p>
            <w:pPr>
              <w:rPr>
                <w:rFonts w:hint="eastAsia" w:eastAsia="宋体"/>
                <w:sz w:val="24"/>
                <w:szCs w:val="24"/>
                <w:lang w:val="en-US" w:eastAsia="zh-CN"/>
              </w:rPr>
            </w:pPr>
            <w:r>
              <w:rPr>
                <w:rFonts w:hint="eastAsia" w:eastAsia="宋体"/>
                <w:sz w:val="24"/>
                <w:szCs w:val="24"/>
                <w:lang w:val="en-US" w:eastAsia="zh-CN"/>
              </w:rPr>
              <w:t xml:space="preserve">--供应商自身的资质、信誉、技术实力、经验； </w:t>
            </w:r>
          </w:p>
          <w:p>
            <w:pPr>
              <w:rPr>
                <w:rFonts w:hint="eastAsia" w:eastAsia="宋体"/>
                <w:sz w:val="24"/>
                <w:szCs w:val="24"/>
                <w:lang w:val="en-US" w:eastAsia="zh-CN"/>
              </w:rPr>
            </w:pPr>
            <w:r>
              <w:rPr>
                <w:rFonts w:hint="eastAsia" w:eastAsia="宋体"/>
                <w:sz w:val="24"/>
                <w:szCs w:val="24"/>
                <w:lang w:val="en-US" w:eastAsia="zh-CN"/>
              </w:rPr>
              <w:t xml:space="preserve">--售后服务和技术支持能力； </w:t>
            </w:r>
          </w:p>
          <w:p>
            <w:pPr>
              <w:rPr>
                <w:rFonts w:hint="eastAsia" w:eastAsia="宋体"/>
                <w:sz w:val="24"/>
                <w:szCs w:val="24"/>
                <w:lang w:val="en-US" w:eastAsia="zh-CN"/>
              </w:rPr>
            </w:pPr>
            <w:r>
              <w:rPr>
                <w:rFonts w:hint="eastAsia" w:eastAsia="宋体"/>
                <w:sz w:val="24"/>
                <w:szCs w:val="24"/>
                <w:lang w:val="en-US" w:eastAsia="zh-CN"/>
              </w:rPr>
              <w:t>--预期使用寿命内对能源使用、能源消耗和能源效率的影响；</w:t>
            </w:r>
          </w:p>
          <w:p>
            <w:pPr>
              <w:rPr>
                <w:rFonts w:hint="eastAsia" w:eastAsia="宋体"/>
                <w:sz w:val="24"/>
                <w:szCs w:val="24"/>
                <w:lang w:val="en-US" w:eastAsia="zh-CN"/>
              </w:rPr>
            </w:pPr>
            <w:r>
              <w:rPr>
                <w:rFonts w:hint="eastAsia" w:eastAsia="宋体"/>
                <w:sz w:val="24"/>
                <w:szCs w:val="24"/>
                <w:lang w:val="en-US" w:eastAsia="zh-CN"/>
              </w:rPr>
              <w:t>d）公司应禁止采购《淘汰落后生产能力、工艺和产品的目录》、《高耗能落后机电设备（产品）淘汰目录》和《产业结构指导目录》规定的淘汰产品和设备，对现有产品、设备进行更换时，应尽量采用高效的节能产品，或者采用国家鼓励的节能产品和设备。</w:t>
            </w:r>
          </w:p>
          <w:p>
            <w:pPr>
              <w:rPr>
                <w:rFonts w:hint="default" w:eastAsia="宋体"/>
                <w:sz w:val="24"/>
                <w:szCs w:val="24"/>
                <w:lang w:val="en-US" w:eastAsia="zh-CN"/>
              </w:rPr>
            </w:pPr>
            <w:r>
              <w:rPr>
                <w:rFonts w:hint="eastAsia" w:eastAsia="宋体"/>
                <w:sz w:val="24"/>
                <w:szCs w:val="24"/>
                <w:lang w:val="en-US" w:eastAsia="zh-CN"/>
              </w:rPr>
              <w:t>抽查水和电的合同。</w:t>
            </w:r>
          </w:p>
          <w:p>
            <w:pPr>
              <w:rPr>
                <w:rFonts w:hint="default" w:eastAsia="宋体"/>
                <w:sz w:val="24"/>
                <w:szCs w:val="24"/>
                <w:lang w:val="en-US" w:eastAsia="zh-CN"/>
              </w:rPr>
            </w:pPr>
          </w:p>
          <w:p>
            <w:pPr>
              <w:rPr>
                <w:rFonts w:hint="eastAsia" w:eastAsia="宋体"/>
                <w:sz w:val="24"/>
                <w:szCs w:val="24"/>
                <w:lang w:val="en-US" w:eastAsia="zh-CN"/>
              </w:rPr>
            </w:pPr>
            <w:r>
              <w:rPr>
                <w:rFonts w:hint="eastAsia" w:eastAsia="宋体"/>
                <w:sz w:val="24"/>
                <w:szCs w:val="24"/>
                <w:lang w:val="en-US" w:eastAsia="zh-CN"/>
              </w:rPr>
              <w:t xml:space="preserve"> </w:t>
            </w:r>
          </w:p>
          <w:p>
            <w:pPr>
              <w:rPr>
                <w:rFonts w:hint="eastAsia" w:eastAsia="宋体"/>
                <w:sz w:val="24"/>
                <w:szCs w:val="24"/>
                <w:lang w:val="en-US" w:eastAsia="zh-CN"/>
              </w:rPr>
            </w:pPr>
            <w:r>
              <w:rPr>
                <w:rFonts w:hint="eastAsia" w:eastAsia="宋体"/>
                <w:sz w:val="24"/>
                <w:szCs w:val="24"/>
                <w:lang w:val="en-US" w:eastAsia="zh-CN"/>
              </w:rPr>
              <w:t xml:space="preserve">公司近几年没有采购设备的的合同。  </w:t>
            </w:r>
          </w:p>
          <w:p>
            <w:pPr>
              <w:rPr>
                <w:rFonts w:hint="default" w:eastAsia="宋体"/>
                <w:sz w:val="24"/>
                <w:szCs w:val="24"/>
                <w:lang w:val="en-US" w:eastAsia="zh-CN"/>
              </w:rPr>
            </w:pPr>
            <w:r>
              <w:rPr>
                <w:rFonts w:hint="eastAsia" w:eastAsia="宋体"/>
                <w:sz w:val="24"/>
                <w:szCs w:val="24"/>
                <w:lang w:val="en-US" w:eastAsia="zh-CN"/>
              </w:rPr>
              <w:t>5、</w:t>
            </w:r>
            <w:r>
              <w:rPr>
                <w:rFonts w:hint="default" w:eastAsia="宋体"/>
                <w:sz w:val="24"/>
                <w:szCs w:val="24"/>
                <w:lang w:val="en-US" w:eastAsia="zh-CN"/>
              </w:rPr>
              <w:t>本部门要求员工照明灯不用时及时将电源关闭， 电脑不使用时及时将电源关闭，电脑设置休眠功能， 夏天空调设置26度以上。</w:t>
            </w:r>
          </w:p>
          <w:p>
            <w:pPr>
              <w:rPr>
                <w:rFonts w:hint="default" w:eastAsia="宋体"/>
                <w:sz w:val="24"/>
                <w:szCs w:val="24"/>
                <w:lang w:val="en-US" w:eastAsia="zh-CN"/>
              </w:rPr>
            </w:pPr>
            <w:r>
              <w:rPr>
                <w:rFonts w:hint="eastAsia" w:eastAsia="宋体"/>
                <w:sz w:val="24"/>
                <w:szCs w:val="24"/>
                <w:lang w:val="en-US" w:eastAsia="zh-CN"/>
              </w:rPr>
              <w:t>6、</w:t>
            </w:r>
            <w:r>
              <w:rPr>
                <w:rFonts w:hint="default" w:eastAsia="宋体"/>
                <w:sz w:val="24"/>
                <w:szCs w:val="24"/>
                <w:lang w:val="en-US" w:eastAsia="zh-CN"/>
              </w:rPr>
              <w:t>办公区张贴节约用电和节约用水的宣传标识。能够做到人走灯息、空调在26度以上。</w:t>
            </w:r>
          </w:p>
          <w:p>
            <w:pPr>
              <w:rPr>
                <w:rFonts w:hint="default" w:eastAsia="宋体"/>
                <w:sz w:val="24"/>
                <w:szCs w:val="24"/>
                <w:lang w:val="en-US" w:eastAsia="zh-CN"/>
              </w:rPr>
            </w:pPr>
            <w:r>
              <w:rPr>
                <w:rFonts w:hint="eastAsia" w:eastAsia="宋体"/>
                <w:sz w:val="24"/>
                <w:szCs w:val="24"/>
                <w:lang w:val="en-US" w:eastAsia="zh-CN"/>
              </w:rPr>
              <w:t>7、</w:t>
            </w:r>
            <w:r>
              <w:rPr>
                <w:rFonts w:hint="default" w:eastAsia="宋体"/>
                <w:sz w:val="24"/>
                <w:szCs w:val="24"/>
                <w:lang w:val="en-US" w:eastAsia="zh-CN"/>
              </w:rPr>
              <w:t>本部门按季对目标指标完成情况进行检查考核，经查本部门2021年度和2022年</w:t>
            </w:r>
            <w:r>
              <w:rPr>
                <w:rFonts w:hint="eastAsia" w:eastAsia="宋体"/>
                <w:sz w:val="24"/>
                <w:szCs w:val="24"/>
                <w:lang w:val="en-US" w:eastAsia="zh-CN"/>
              </w:rPr>
              <w:t>上半年</w:t>
            </w:r>
            <w:r>
              <w:rPr>
                <w:rFonts w:hint="default" w:eastAsia="宋体"/>
                <w:sz w:val="24"/>
                <w:szCs w:val="24"/>
                <w:lang w:val="en-US" w:eastAsia="zh-CN"/>
              </w:rPr>
              <w:t>能源各项目标指标全部完成。</w:t>
            </w:r>
          </w:p>
          <w:p>
            <w:pPr>
              <w:rPr>
                <w:rFonts w:hint="default" w:eastAsia="宋体"/>
                <w:sz w:val="24"/>
                <w:szCs w:val="24"/>
                <w:lang w:val="en-US" w:eastAsia="zh-CN"/>
              </w:rPr>
            </w:pPr>
            <w:r>
              <w:rPr>
                <w:rFonts w:hint="default" w:eastAsia="宋体"/>
                <w:sz w:val="24"/>
                <w:szCs w:val="24"/>
                <w:lang w:val="en-US" w:eastAsia="zh-CN"/>
              </w:rPr>
              <w:t>自公司能源体系运行以来，本部门未发生不符合。</w:t>
            </w:r>
          </w:p>
          <w:p>
            <w:pPr>
              <w:rPr>
                <w:rFonts w:hint="default" w:eastAsia="宋体"/>
                <w:sz w:val="24"/>
                <w:szCs w:val="24"/>
                <w:lang w:val="en-US" w:eastAsia="zh-CN"/>
              </w:rPr>
            </w:pPr>
            <w:r>
              <w:rPr>
                <w:rFonts w:hint="eastAsia" w:eastAsia="宋体"/>
                <w:sz w:val="24"/>
                <w:szCs w:val="24"/>
                <w:lang w:val="en-US" w:eastAsia="zh-CN"/>
              </w:rPr>
              <w:t>符合要求。</w:t>
            </w:r>
          </w:p>
        </w:tc>
        <w:tc>
          <w:tcPr>
            <w:tcW w:w="851" w:type="dxa"/>
          </w:tcPr>
          <w:p>
            <w:pPr>
              <w:rPr>
                <w:rFonts w:hint="eastAsia" w:eastAsia="宋体"/>
                <w:sz w:val="24"/>
                <w:szCs w:val="24"/>
                <w:lang w:val="en-US" w:eastAsia="zh-CN"/>
              </w:rPr>
            </w:pPr>
            <w:r>
              <w:rPr>
                <w:rFonts w:hint="eastAsia" w:eastAsia="宋体"/>
                <w:sz w:val="24"/>
                <w:szCs w:val="24"/>
                <w:lang w:val="en-US" w:eastAsia="zh-CN"/>
              </w:rPr>
              <w:t>Y</w:t>
            </w:r>
          </w:p>
        </w:tc>
      </w:tr>
    </w:tbl>
    <w:p>
      <w:pPr>
        <w:pStyle w:val="6"/>
        <w:rPr>
          <w:rFonts w:hint="eastAsia"/>
        </w:rPr>
      </w:pPr>
    </w:p>
    <w:p>
      <w:pPr>
        <w:pStyle w:val="6"/>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7"/>
      <w:pBdr>
        <w:bottom w:val="none" w:color="auto" w:sz="0" w:space="1"/>
      </w:pBdr>
      <w:spacing w:line="320" w:lineRule="exact"/>
      <w:ind w:firstLine="720" w:firstLineChars="400"/>
      <w:jc w:val="left"/>
    </w:pPr>
    <w:r>
      <w:pict>
        <v:shape id="文本框 1" o:spid="_x0000_s4097" o:spt="202" type="#_x0000_t202" style="position:absolute;left:0pt;margin-left:631.7pt;margin-top:2.2pt;height:20.2pt;width:95.05pt;z-index:251659264;mso-width-relative:page;mso-height-relative:page;" fillcolor="#FFFFFF" filled="t"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on="t" color2="#FFFFFF" focussize="0,0"/>
          <v:stroke on="f"/>
          <v:imagedata o:title=""/>
          <o:lock v:ext="edit" aspectratio="f"/>
          <v:textbox>
            <w:txbxContent>
              <w:p>
                <w:pPr>
                  <w:rPr>
                    <w:sz w:val="18"/>
                    <w:szCs w:val="18"/>
                  </w:rPr>
                </w:pPr>
                <w:r>
                  <w:rPr>
                    <w:rFonts w:hint="eastAsia"/>
                    <w:sz w:val="18"/>
                    <w:szCs w:val="18"/>
                  </w:rPr>
                  <w:t>ISC-B-II-12(05版）</w:t>
                </w:r>
              </w:p>
              <w:p/>
            </w:txbxContent>
          </v:textbox>
        </v:shape>
      </w:pict>
    </w:r>
    <w:r>
      <w:rPr>
        <w:rStyle w:val="17"/>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DB65E"/>
    <w:multiLevelType w:val="singleLevel"/>
    <w:tmpl w:val="9F7DB65E"/>
    <w:lvl w:ilvl="0" w:tentative="0">
      <w:start w:val="7"/>
      <w:numFmt w:val="chineseCounting"/>
      <w:suff w:val="nothing"/>
      <w:lvlText w:val="%1、"/>
      <w:lvlJc w:val="left"/>
      <w:rPr>
        <w:rFonts w:hint="eastAsia"/>
      </w:rPr>
    </w:lvl>
  </w:abstractNum>
  <w:abstractNum w:abstractNumId="1">
    <w:nsid w:val="B968D6C4"/>
    <w:multiLevelType w:val="singleLevel"/>
    <w:tmpl w:val="B968D6C4"/>
    <w:lvl w:ilvl="0" w:tentative="0">
      <w:start w:val="1"/>
      <w:numFmt w:val="chineseCounting"/>
      <w:suff w:val="nothing"/>
      <w:lvlText w:val="%1、"/>
      <w:lvlJc w:val="left"/>
      <w:rPr>
        <w:rFonts w:hint="eastAsia"/>
      </w:rPr>
    </w:lvl>
  </w:abstractNum>
  <w:abstractNum w:abstractNumId="2">
    <w:nsid w:val="DFA6FBE1"/>
    <w:multiLevelType w:val="singleLevel"/>
    <w:tmpl w:val="DFA6FBE1"/>
    <w:lvl w:ilvl="0" w:tentative="0">
      <w:start w:val="4"/>
      <w:numFmt w:val="chineseCounting"/>
      <w:suff w:val="nothing"/>
      <w:lvlText w:val="%1、"/>
      <w:lvlJc w:val="left"/>
      <w:rPr>
        <w:rFonts w:hint="eastAsia"/>
      </w:rPr>
    </w:lvl>
  </w:abstractNum>
  <w:abstractNum w:abstractNumId="3">
    <w:nsid w:val="32A66F4D"/>
    <w:multiLevelType w:val="singleLevel"/>
    <w:tmpl w:val="32A66F4D"/>
    <w:lvl w:ilvl="0" w:tentative="0">
      <w:start w:val="8"/>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FhOTUxOWU4NmEyZTY3NTg5Zjg0ZDY5NTZmMzA5NGQifQ=="/>
  </w:docVars>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50D2726"/>
    <w:rsid w:val="08422B0C"/>
    <w:rsid w:val="08F56F53"/>
    <w:rsid w:val="09716CC2"/>
    <w:rsid w:val="0AA50227"/>
    <w:rsid w:val="0AFD3115"/>
    <w:rsid w:val="0B690F53"/>
    <w:rsid w:val="0BCC31C6"/>
    <w:rsid w:val="0DF2727B"/>
    <w:rsid w:val="0DFD1924"/>
    <w:rsid w:val="0FE52B89"/>
    <w:rsid w:val="106C6179"/>
    <w:rsid w:val="108219C2"/>
    <w:rsid w:val="13B33BC9"/>
    <w:rsid w:val="15787726"/>
    <w:rsid w:val="16861582"/>
    <w:rsid w:val="16B65069"/>
    <w:rsid w:val="16CA76D4"/>
    <w:rsid w:val="16D974B1"/>
    <w:rsid w:val="18572570"/>
    <w:rsid w:val="19550BDB"/>
    <w:rsid w:val="1ADD2EA8"/>
    <w:rsid w:val="1AEE063A"/>
    <w:rsid w:val="1B46487E"/>
    <w:rsid w:val="1B881819"/>
    <w:rsid w:val="1C944F44"/>
    <w:rsid w:val="212345D6"/>
    <w:rsid w:val="22F43389"/>
    <w:rsid w:val="2385314C"/>
    <w:rsid w:val="23C01079"/>
    <w:rsid w:val="23ED5FE4"/>
    <w:rsid w:val="244F7F39"/>
    <w:rsid w:val="24B017FF"/>
    <w:rsid w:val="25C6426F"/>
    <w:rsid w:val="25D43F74"/>
    <w:rsid w:val="25F6279D"/>
    <w:rsid w:val="260E6499"/>
    <w:rsid w:val="29E318C1"/>
    <w:rsid w:val="2B1401ED"/>
    <w:rsid w:val="2BE71DC5"/>
    <w:rsid w:val="2C2D20AB"/>
    <w:rsid w:val="2C791468"/>
    <w:rsid w:val="2F912599"/>
    <w:rsid w:val="318604A8"/>
    <w:rsid w:val="32334EAE"/>
    <w:rsid w:val="347A765D"/>
    <w:rsid w:val="34E328F7"/>
    <w:rsid w:val="36742059"/>
    <w:rsid w:val="38D302A1"/>
    <w:rsid w:val="3B275AFC"/>
    <w:rsid w:val="3B2F152F"/>
    <w:rsid w:val="3BA1699B"/>
    <w:rsid w:val="3D507775"/>
    <w:rsid w:val="3D983010"/>
    <w:rsid w:val="3E4E3E48"/>
    <w:rsid w:val="3E4F4E3C"/>
    <w:rsid w:val="3EC252BA"/>
    <w:rsid w:val="3FC90D4F"/>
    <w:rsid w:val="40CE4D07"/>
    <w:rsid w:val="40E73C0B"/>
    <w:rsid w:val="418C6EA0"/>
    <w:rsid w:val="430458CB"/>
    <w:rsid w:val="43C45188"/>
    <w:rsid w:val="44156DFC"/>
    <w:rsid w:val="450827B4"/>
    <w:rsid w:val="456613DE"/>
    <w:rsid w:val="458518D1"/>
    <w:rsid w:val="470528B1"/>
    <w:rsid w:val="47B458E1"/>
    <w:rsid w:val="483A3F04"/>
    <w:rsid w:val="4AB51850"/>
    <w:rsid w:val="4B1D16C3"/>
    <w:rsid w:val="4BC14352"/>
    <w:rsid w:val="4E194E12"/>
    <w:rsid w:val="4E377A31"/>
    <w:rsid w:val="4FFD1A67"/>
    <w:rsid w:val="506B2CA1"/>
    <w:rsid w:val="508939BE"/>
    <w:rsid w:val="568C3F73"/>
    <w:rsid w:val="56F0460D"/>
    <w:rsid w:val="5A1D6551"/>
    <w:rsid w:val="5BA21581"/>
    <w:rsid w:val="5BFD0207"/>
    <w:rsid w:val="5CAB44D2"/>
    <w:rsid w:val="5E292A40"/>
    <w:rsid w:val="5E82153D"/>
    <w:rsid w:val="5EA12B9A"/>
    <w:rsid w:val="5EC27919"/>
    <w:rsid w:val="5F5C13F0"/>
    <w:rsid w:val="60D8693C"/>
    <w:rsid w:val="62F24F2F"/>
    <w:rsid w:val="64044DA8"/>
    <w:rsid w:val="650A78D6"/>
    <w:rsid w:val="66823688"/>
    <w:rsid w:val="6C1279E0"/>
    <w:rsid w:val="6CAA131E"/>
    <w:rsid w:val="6F765216"/>
    <w:rsid w:val="70FE0D10"/>
    <w:rsid w:val="7147513F"/>
    <w:rsid w:val="7257141B"/>
    <w:rsid w:val="746569AB"/>
    <w:rsid w:val="753266BC"/>
    <w:rsid w:val="75876A71"/>
    <w:rsid w:val="75F665BA"/>
    <w:rsid w:val="76AF40A0"/>
    <w:rsid w:val="778D1E8E"/>
    <w:rsid w:val="78E67034"/>
    <w:rsid w:val="79807E6E"/>
    <w:rsid w:val="7A8C3E62"/>
    <w:rsid w:val="7ADD4DAA"/>
    <w:rsid w:val="7BF16553"/>
    <w:rsid w:val="7DB0259E"/>
    <w:rsid w:val="7E155CD3"/>
    <w:rsid w:val="7E9F13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styleId="3">
    <w:name w:val="Body Text"/>
    <w:basedOn w:val="1"/>
    <w:qFormat/>
    <w:uiPriority w:val="0"/>
    <w:rPr>
      <w:rFonts w:eastAsia="华文细黑"/>
      <w:sz w:val="24"/>
    </w:rPr>
  </w:style>
  <w:style w:type="paragraph" w:styleId="4">
    <w:name w:val="Body Text Indent"/>
    <w:basedOn w:val="1"/>
    <w:qFormat/>
    <w:uiPriority w:val="0"/>
    <w:pPr>
      <w:snapToGrid w:val="0"/>
      <w:spacing w:line="336" w:lineRule="auto"/>
      <w:ind w:firstLine="630"/>
    </w:pPr>
    <w:rPr>
      <w:sz w:val="32"/>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able of figures"/>
    <w:basedOn w:val="1"/>
    <w:next w:val="1"/>
    <w:qFormat/>
    <w:uiPriority w:val="0"/>
    <w:pPr>
      <w:ind w:left="200" w:leftChars="200" w:hanging="200" w:hangingChars="200"/>
    </w:p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2"/>
    <w:link w:val="7"/>
    <w:qFormat/>
    <w:uiPriority w:val="99"/>
    <w:rPr>
      <w:rFonts w:ascii="Times New Roman" w:hAnsi="Times New Roman" w:eastAsia="宋体" w:cs="Times New Roman"/>
      <w:sz w:val="18"/>
      <w:szCs w:val="18"/>
    </w:rPr>
  </w:style>
  <w:style w:type="character" w:customStyle="1" w:styleId="15">
    <w:name w:val="页脚 字符"/>
    <w:basedOn w:val="12"/>
    <w:link w:val="6"/>
    <w:qFormat/>
    <w:uiPriority w:val="99"/>
    <w:rPr>
      <w:rFonts w:ascii="Times New Roman" w:hAnsi="Times New Roman" w:eastAsia="宋体" w:cs="Times New Roman"/>
      <w:sz w:val="18"/>
      <w:szCs w:val="18"/>
    </w:rPr>
  </w:style>
  <w:style w:type="character" w:customStyle="1" w:styleId="16">
    <w:name w:val="批注框文本 字符"/>
    <w:basedOn w:val="12"/>
    <w:link w:val="5"/>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oleObject" Target="embeddings/oleObject2.bin"/><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3457;&#26680;&#36164;&#26009;\&#33021;&#28304;\&#22269;&#26631;&#32852;&#21512;\2022\&#20869;&#33945;&#21476;&#26477;&#33831;&#30427;&#22522;&#32511;&#33394;&#24314;&#31569;&#31185;&#25216;&#26377;&#38480;&#20844;&#21496;\&#26032;&#24314;&#25991;&#20214;&#22841;\2022&#24180;&#28151;&#20957;&#22303;&#20844;&#21496;&#33021;&#28304;&#28040;&#32791;&#27719;&#2463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3457;&#26680;&#36164;&#26009;\&#33021;&#28304;\&#22269;&#26631;&#32852;&#21512;\2022\&#20869;&#33945;&#21476;&#26477;&#33831;&#30427;&#22522;&#32511;&#33394;&#24314;&#31569;&#31185;&#25216;&#26377;&#38480;&#20844;&#21496;\&#26032;&#24314;&#25991;&#20214;&#22841;\2022&#24180;&#30722;&#27974;&#33021;&#28304;&#28040;&#32791;&#27719;&#246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预拌混凝土单位产品能耗曲线图</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'[2022年混凝土公司能源消耗汇总.xlsx]2022年能源消费量'!$I$9:$I$11</c:f>
              <c:strCache>
                <c:ptCount val="3"/>
                <c:pt idx="0">
                  <c:v>2020年</c:v>
                </c:pt>
                <c:pt idx="1">
                  <c:v>2021年</c:v>
                </c:pt>
                <c:pt idx="2">
                  <c:v>2022年1-7月</c:v>
                </c:pt>
              </c:strCache>
            </c:strRef>
          </c:cat>
          <c:val>
            <c:numRef>
              <c:f>'[2022年混凝土公司能源消耗汇总.xlsx]2022年能源消费量'!$J$9:$J$11</c:f>
              <c:numCache>
                <c:formatCode>General</c:formatCode>
                <c:ptCount val="3"/>
                <c:pt idx="0">
                  <c:v>0.87</c:v>
                </c:pt>
                <c:pt idx="1">
                  <c:v>0.87</c:v>
                </c:pt>
                <c:pt idx="2">
                  <c:v>0.93</c:v>
                </c:pt>
              </c:numCache>
            </c:numRef>
          </c:val>
          <c:smooth val="0"/>
        </c:ser>
        <c:ser>
          <c:idx val="1"/>
          <c:order val="1"/>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'[2022年混凝土公司能源消耗汇总.xlsx]2022年能源消费量'!$I$9:$I$11</c:f>
              <c:strCache>
                <c:ptCount val="3"/>
                <c:pt idx="0">
                  <c:v>2020年</c:v>
                </c:pt>
                <c:pt idx="1">
                  <c:v>2021年</c:v>
                </c:pt>
                <c:pt idx="2">
                  <c:v>2022年1-7月</c:v>
                </c:pt>
              </c:strCache>
            </c:strRef>
          </c:cat>
          <c:val>
            <c:numRef>
              <c:f>'[2022年混凝土公司能源消耗汇总.xlsx]2022年能源消费量'!$K$9:$K$11</c:f>
              <c:numCache>
                <c:formatCode>General</c:formatCode>
                <c:ptCount val="3"/>
                <c:pt idx="0">
                  <c:v>1.1</c:v>
                </c:pt>
                <c:pt idx="1">
                  <c:v>1.1</c:v>
                </c:pt>
                <c:pt idx="2">
                  <c:v>1.1</c:v>
                </c:pt>
              </c:numCache>
            </c:numRef>
          </c:val>
          <c:smooth val="0"/>
        </c:ser>
        <c:dLbls>
          <c:showLegendKey val="0"/>
          <c:showVal val="1"/>
          <c:showCatName val="0"/>
          <c:showSerName val="0"/>
          <c:showPercent val="0"/>
          <c:showBubbleSize val="0"/>
        </c:dLbls>
        <c:marker val="0"/>
        <c:smooth val="0"/>
        <c:axId val="459310688"/>
        <c:axId val="546933531"/>
      </c:lineChart>
      <c:catAx>
        <c:axId val="45931068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933531"/>
        <c:crosses val="autoZero"/>
        <c:auto val="1"/>
        <c:lblAlgn val="ctr"/>
        <c:lblOffset val="100"/>
        <c:noMultiLvlLbl val="0"/>
      </c:catAx>
      <c:valAx>
        <c:axId val="5469335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单位产品能耗</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931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manualLayout>
          <c:xMode val="edge"/>
          <c:yMode val="edge"/>
          <c:x val="0.362708333333333"/>
          <c:y val="0.89467592592592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预拌砂浆单位产品能耗趋势图</a:t>
            </a:r>
          </a:p>
        </c:rich>
      </c:tx>
      <c:layout>
        <c:manualLayout>
          <c:xMode val="edge"/>
          <c:yMode val="edge"/>
          <c:x val="0.240833333333333"/>
          <c:y val="0.0300925925925926"/>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'[2022年砂浆能源消耗汇总(1).xlsx]2022年能源消费量'!$I$10:$I$12</c:f>
              <c:strCache>
                <c:ptCount val="3"/>
                <c:pt idx="0">
                  <c:v>2020年</c:v>
                </c:pt>
                <c:pt idx="1">
                  <c:v>2021年</c:v>
                </c:pt>
                <c:pt idx="2">
                  <c:v>2022年1-7月</c:v>
                </c:pt>
              </c:strCache>
            </c:strRef>
          </c:cat>
          <c:val>
            <c:numRef>
              <c:f>'[2022年砂浆能源消耗汇总(1).xlsx]2022年能源消费量'!$J$10:$J$12</c:f>
              <c:numCache>
                <c:formatCode>General</c:formatCode>
                <c:ptCount val="3"/>
                <c:pt idx="1">
                  <c:v>0.51</c:v>
                </c:pt>
                <c:pt idx="2">
                  <c:v>0.396</c:v>
                </c:pt>
              </c:numCache>
            </c:numRef>
          </c:val>
          <c:smooth val="0"/>
        </c:ser>
        <c:ser>
          <c:idx val="1"/>
          <c:order val="1"/>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'[2022年砂浆能源消耗汇总(1).xlsx]2022年能源消费量'!$I$10:$I$12</c:f>
              <c:strCache>
                <c:ptCount val="3"/>
                <c:pt idx="0">
                  <c:v>2020年</c:v>
                </c:pt>
                <c:pt idx="1">
                  <c:v>2021年</c:v>
                </c:pt>
                <c:pt idx="2">
                  <c:v>2022年1-7月</c:v>
                </c:pt>
              </c:strCache>
            </c:strRef>
          </c:cat>
          <c:val>
            <c:numRef>
              <c:f>'[2022年砂浆能源消耗汇总(1).xlsx]2022年能源消费量'!$K$10:$K$12</c:f>
              <c:numCache>
                <c:formatCode>General</c:formatCode>
                <c:ptCount val="3"/>
                <c:pt idx="1">
                  <c:v>0.85</c:v>
                </c:pt>
                <c:pt idx="2">
                  <c:v>0.85</c:v>
                </c:pt>
              </c:numCache>
            </c:numRef>
          </c:val>
          <c:smooth val="0"/>
        </c:ser>
        <c:dLbls>
          <c:showLegendKey val="0"/>
          <c:showVal val="1"/>
          <c:showCatName val="0"/>
          <c:showSerName val="0"/>
          <c:showPercent val="0"/>
          <c:showBubbleSize val="0"/>
        </c:dLbls>
        <c:marker val="0"/>
        <c:smooth val="0"/>
        <c:axId val="684352592"/>
        <c:axId val="744147142"/>
      </c:lineChart>
      <c:catAx>
        <c:axId val="6843525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4147142"/>
        <c:crosses val="autoZero"/>
        <c:auto val="1"/>
        <c:lblAlgn val="ctr"/>
        <c:lblOffset val="100"/>
        <c:noMultiLvlLbl val="0"/>
      </c:catAx>
      <c:valAx>
        <c:axId val="74414714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单位产品能耗</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4352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5356</Words>
  <Characters>6392</Characters>
  <Lines>1</Lines>
  <Paragraphs>1</Paragraphs>
  <TotalTime>3</TotalTime>
  <ScaleCrop>false</ScaleCrop>
  <LinksUpToDate>false</LinksUpToDate>
  <CharactersWithSpaces>6681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开门大吉～ISO认证服务</cp:lastModifiedBy>
  <dcterms:modified xsi:type="dcterms:W3CDTF">2022-08-23T03:02:31Z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DE328A8AF59341648C9821279B779E99</vt:lpwstr>
  </property>
</Properties>
</file>