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794"/>
        <w:gridCol w:w="708"/>
        <w:gridCol w:w="389"/>
        <w:gridCol w:w="1061"/>
        <w:gridCol w:w="500"/>
        <w:gridCol w:w="708"/>
        <w:gridCol w:w="42"/>
        <w:gridCol w:w="1007"/>
        <w:gridCol w:w="266"/>
        <w:gridCol w:w="26"/>
        <w:gridCol w:w="122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内蒙古杭萧盛基绿色建筑科技有限公司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内蒙古自治区呼和浩特市和林格尔县姑子板村委会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内蒙古自治区呼和浩特市和林格尔县姑子板村委会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9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杨建青</w:t>
            </w:r>
            <w:bookmarkEnd w:id="3"/>
          </w:p>
        </w:tc>
        <w:tc>
          <w:tcPr>
            <w:tcW w:w="109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15391120356</w:t>
            </w:r>
            <w:bookmarkEnd w:id="4"/>
          </w:p>
        </w:tc>
        <w:tc>
          <w:tcPr>
            <w:tcW w:w="70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721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yunying315@163.com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092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61" w:type="dxa"/>
            <w:gridSpan w:val="2"/>
            <w:vAlign w:val="center"/>
          </w:tcPr>
          <w:p>
            <w:bookmarkStart w:id="7" w:name="管代电话"/>
            <w:bookmarkEnd w:id="7"/>
          </w:p>
        </w:tc>
        <w:tc>
          <w:tcPr>
            <w:tcW w:w="70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721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092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0937-2022-EnMS</w:t>
            </w:r>
            <w:bookmarkEnd w:id="8"/>
          </w:p>
        </w:tc>
        <w:tc>
          <w:tcPr>
            <w:tcW w:w="109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990" w:type="dxa"/>
            <w:gridSpan w:val="9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0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1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3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3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4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5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458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18" w:name="审核范围"/>
            <w:r>
              <w:rPr>
                <w:sz w:val="20"/>
              </w:rPr>
              <w:t>混凝土、干混砂浆的生产所涉及的能源管理活动</w:t>
            </w:r>
            <w:bookmarkEnd w:id="18"/>
          </w:p>
        </w:tc>
        <w:tc>
          <w:tcPr>
            <w:tcW w:w="131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06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19" w:name="专业代码"/>
            <w:r>
              <w:rPr>
                <w:sz w:val="20"/>
              </w:rPr>
              <w:t>2.4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1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3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4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RB/T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121-2016能源管理体系 建材（不含水泥、玻璃、陶瓷）认证要求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6" w:name="审核日期"/>
            <w:r>
              <w:rPr>
                <w:rFonts w:hint="eastAsia"/>
                <w:b/>
                <w:sz w:val="20"/>
              </w:rPr>
              <w:t>2022年08月15日 上午至2022年08月16日 下午</w:t>
            </w:r>
            <w:bookmarkEnd w:id="26"/>
            <w:r>
              <w:rPr>
                <w:rFonts w:hint="eastAsia"/>
                <w:b/>
                <w:sz w:val="20"/>
              </w:rPr>
              <w:t>(共</w:t>
            </w:r>
            <w:bookmarkStart w:id="27" w:name="审核天数"/>
            <w:r>
              <w:rPr>
                <w:rFonts w:hint="eastAsia"/>
                <w:b/>
                <w:sz w:val="20"/>
              </w:rPr>
              <w:t>2.0</w:t>
            </w:r>
            <w:bookmarkEnd w:id="27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远程审核于2022年08月15日 上午至2022年08月16日 下午(共2.0天)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891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231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2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58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891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231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2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25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宋翠琳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1891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2022-N1EnMS-1082241</w:t>
            </w:r>
          </w:p>
        </w:tc>
        <w:tc>
          <w:tcPr>
            <w:tcW w:w="231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2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13257234415</w:t>
            </w:r>
          </w:p>
        </w:tc>
        <w:tc>
          <w:tcPr>
            <w:tcW w:w="125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杜凤磊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891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ISC-JSZJ-556</w:t>
            </w:r>
          </w:p>
        </w:tc>
        <w:tc>
          <w:tcPr>
            <w:tcW w:w="231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2.4</w:t>
            </w:r>
          </w:p>
        </w:tc>
        <w:tc>
          <w:tcPr>
            <w:tcW w:w="142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15849326524</w:t>
            </w:r>
          </w:p>
        </w:tc>
        <w:tc>
          <w:tcPr>
            <w:tcW w:w="125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250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杜凤磊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内蒙古锦銮建筑材料生产有限公司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2.4</w:t>
            </w:r>
          </w:p>
        </w:tc>
        <w:tc>
          <w:tcPr>
            <w:tcW w:w="1299" w:type="dxa"/>
            <w:gridSpan w:val="3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15849326524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50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</w:tc>
        <w:tc>
          <w:tcPr>
            <w:tcW w:w="1757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672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13863734938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50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72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2022.8.14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2022.8.14</w:t>
            </w:r>
          </w:p>
        </w:tc>
        <w:tc>
          <w:tcPr>
            <w:tcW w:w="175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672" w:type="dxa"/>
            <w:gridSpan w:val="4"/>
            <w:vAlign w:val="center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2022.8.15</w:t>
            </w: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460"/>
        <w:gridCol w:w="1150"/>
        <w:gridCol w:w="3982"/>
        <w:gridCol w:w="1695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460" w:type="dxa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时间</w:t>
            </w:r>
          </w:p>
        </w:tc>
        <w:tc>
          <w:tcPr>
            <w:tcW w:w="1150" w:type="dxa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部门</w:t>
            </w:r>
          </w:p>
        </w:tc>
        <w:tc>
          <w:tcPr>
            <w:tcW w:w="3982" w:type="dxa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过程</w:t>
            </w:r>
          </w:p>
        </w:tc>
        <w:tc>
          <w:tcPr>
            <w:tcW w:w="1695" w:type="dxa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涉及条款</w:t>
            </w:r>
          </w:p>
        </w:tc>
        <w:tc>
          <w:tcPr>
            <w:tcW w:w="1054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8</w:t>
            </w:r>
            <w:r>
              <w:rPr>
                <w:rFonts w:hint="eastAsia"/>
                <w:sz w:val="20"/>
              </w:rPr>
              <w:t>-</w:t>
            </w:r>
            <w:r>
              <w:rPr>
                <w:rFonts w:hint="eastAsia"/>
                <w:sz w:val="20"/>
                <w:lang w:val="en-US" w:eastAsia="zh-CN"/>
              </w:rPr>
              <w:t>15</w:t>
            </w:r>
          </w:p>
          <w:p>
            <w:pPr>
              <w:rPr>
                <w:rFonts w:hint="default"/>
                <w:sz w:val="20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第一天</w:t>
            </w:r>
          </w:p>
        </w:tc>
        <w:tc>
          <w:tcPr>
            <w:tcW w:w="1150" w:type="dxa"/>
            <w:vAlign w:val="center"/>
          </w:tcPr>
          <w:p>
            <w:pPr>
              <w:rPr>
                <w:rFonts w:hint="eastAsia"/>
                <w:sz w:val="20"/>
              </w:rPr>
            </w:pPr>
          </w:p>
        </w:tc>
        <w:tc>
          <w:tcPr>
            <w:tcW w:w="3982" w:type="dxa"/>
            <w:vAlign w:val="center"/>
          </w:tcPr>
          <w:p>
            <w:pPr>
              <w:rPr>
                <w:rFonts w:hint="eastAsia"/>
                <w:sz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hint="eastAsia"/>
                <w:sz w:val="20"/>
              </w:rPr>
            </w:pPr>
          </w:p>
        </w:tc>
        <w:tc>
          <w:tcPr>
            <w:tcW w:w="1054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rPr>
                <w:rFonts w:hint="eastAsia"/>
                <w:sz w:val="20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8</w:t>
            </w:r>
            <w:r>
              <w:rPr>
                <w:rFonts w:hint="eastAsia"/>
                <w:sz w:val="20"/>
              </w:rPr>
              <w:t>: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rFonts w:hint="eastAsia"/>
                <w:sz w:val="20"/>
              </w:rPr>
              <w:t>0</w:t>
            </w:r>
            <w:r>
              <w:rPr>
                <w:rFonts w:hint="eastAsia"/>
                <w:sz w:val="20"/>
                <w:lang w:val="en-US" w:eastAsia="zh-CN"/>
              </w:rPr>
              <w:t>-9:00</w:t>
            </w:r>
          </w:p>
        </w:tc>
        <w:tc>
          <w:tcPr>
            <w:tcW w:w="1150" w:type="dxa"/>
          </w:tcPr>
          <w:p>
            <w:pPr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企业相关人员</w:t>
            </w:r>
          </w:p>
        </w:tc>
        <w:tc>
          <w:tcPr>
            <w:tcW w:w="3982" w:type="dxa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首次会议</w:t>
            </w:r>
          </w:p>
        </w:tc>
        <w:tc>
          <w:tcPr>
            <w:tcW w:w="1695" w:type="dxa"/>
          </w:tcPr>
          <w:p>
            <w:pPr>
              <w:rPr>
                <w:rFonts w:hint="eastAsia"/>
                <w:sz w:val="20"/>
              </w:rPr>
            </w:pPr>
          </w:p>
        </w:tc>
        <w:tc>
          <w:tcPr>
            <w:tcW w:w="1054" w:type="dxa"/>
            <w:tcBorders>
              <w:right w:val="single" w:color="auto" w:sz="8" w:space="0"/>
            </w:tcBorders>
          </w:tcPr>
          <w:p>
            <w:pPr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AB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rPr>
                <w:rFonts w:hint="eastAsia"/>
                <w:sz w:val="20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9</w:t>
            </w:r>
            <w:r>
              <w:rPr>
                <w:rFonts w:hint="eastAsia"/>
                <w:sz w:val="20"/>
              </w:rPr>
              <w:t>: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rFonts w:hint="eastAsia"/>
                <w:sz w:val="20"/>
              </w:rPr>
              <w:t>0</w:t>
            </w:r>
            <w:r>
              <w:rPr>
                <w:rFonts w:hint="eastAsia"/>
                <w:sz w:val="20"/>
                <w:lang w:val="en-US" w:eastAsia="zh-CN"/>
              </w:rPr>
              <w:t>-12:00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管理层</w:t>
            </w:r>
          </w:p>
        </w:tc>
        <w:tc>
          <w:tcPr>
            <w:tcW w:w="3982" w:type="dxa"/>
            <w:vAlign w:val="top"/>
          </w:tcPr>
          <w:p>
            <w:pPr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组织所处的环境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rFonts w:hint="eastAsia"/>
                <w:sz w:val="20"/>
              </w:rPr>
              <w:t>相关方的需求和期望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rFonts w:hint="eastAsia"/>
                <w:sz w:val="20"/>
              </w:rPr>
              <w:t>能源管理体系的范围</w:t>
            </w:r>
            <w:r>
              <w:rPr>
                <w:rFonts w:hint="eastAsia"/>
                <w:sz w:val="20"/>
                <w:lang w:val="en-US" w:eastAsia="zh-CN"/>
              </w:rPr>
              <w:t>及</w:t>
            </w:r>
            <w:r>
              <w:rPr>
                <w:rFonts w:hint="eastAsia"/>
                <w:sz w:val="20"/>
              </w:rPr>
              <w:t>能源管理体系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rFonts w:hint="eastAsia"/>
                <w:sz w:val="20"/>
              </w:rPr>
              <w:t>领导作用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rFonts w:hint="eastAsia"/>
                <w:sz w:val="20"/>
              </w:rPr>
              <w:t>能源方针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rFonts w:hint="eastAsia"/>
                <w:sz w:val="20"/>
              </w:rPr>
              <w:t>岗位、职责和权限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rFonts w:hint="eastAsia"/>
                <w:sz w:val="20"/>
              </w:rPr>
              <w:t>风险和机遇的措施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rFonts w:hint="eastAsia"/>
                <w:sz w:val="20"/>
              </w:rPr>
              <w:t>资源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rFonts w:hint="eastAsia"/>
                <w:sz w:val="20"/>
              </w:rPr>
              <w:t>管理评审</w:t>
            </w:r>
            <w:r>
              <w:rPr>
                <w:rFonts w:hint="eastAsia"/>
                <w:sz w:val="20"/>
                <w:lang w:val="en-US" w:eastAsia="zh-CN"/>
              </w:rPr>
              <w:t>；持续改进</w:t>
            </w:r>
          </w:p>
          <w:p>
            <w:pPr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对一阶段问题整改情况的确认</w:t>
            </w:r>
            <w:r>
              <w:rPr>
                <w:rFonts w:hint="eastAsia"/>
                <w:sz w:val="20"/>
                <w:lang w:eastAsia="zh-CN"/>
              </w:rPr>
              <w:t>。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EnMS：</w:t>
            </w:r>
          </w:p>
          <w:p>
            <w:pPr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4.1</w:t>
            </w:r>
            <w:r>
              <w:rPr>
                <w:rFonts w:hint="eastAsia"/>
                <w:sz w:val="20"/>
                <w:lang w:val="en-US" w:eastAsia="zh-CN"/>
              </w:rPr>
              <w:t>/</w:t>
            </w:r>
            <w:r>
              <w:rPr>
                <w:rFonts w:hint="eastAsia"/>
                <w:sz w:val="20"/>
              </w:rPr>
              <w:t>4.2</w:t>
            </w:r>
            <w:r>
              <w:rPr>
                <w:rFonts w:hint="eastAsia"/>
                <w:sz w:val="20"/>
                <w:lang w:val="en-US" w:eastAsia="zh-CN"/>
              </w:rPr>
              <w:t>/</w:t>
            </w:r>
            <w:r>
              <w:rPr>
                <w:rFonts w:hint="eastAsia"/>
                <w:sz w:val="20"/>
              </w:rPr>
              <w:t>4.3</w:t>
            </w:r>
            <w:r>
              <w:rPr>
                <w:rFonts w:hint="eastAsia"/>
                <w:sz w:val="20"/>
                <w:lang w:val="en-US" w:eastAsia="zh-CN"/>
              </w:rPr>
              <w:t>/</w:t>
            </w:r>
            <w:r>
              <w:rPr>
                <w:rFonts w:hint="eastAsia"/>
                <w:sz w:val="20"/>
              </w:rPr>
              <w:t>4.4</w:t>
            </w:r>
            <w:r>
              <w:rPr>
                <w:rFonts w:hint="eastAsia"/>
                <w:sz w:val="20"/>
                <w:lang w:val="en-US" w:eastAsia="zh-CN"/>
              </w:rPr>
              <w:t>/</w:t>
            </w:r>
          </w:p>
          <w:p>
            <w:pPr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5.1</w:t>
            </w:r>
            <w:r>
              <w:rPr>
                <w:rFonts w:hint="eastAsia"/>
                <w:sz w:val="20"/>
                <w:lang w:val="en-US" w:eastAsia="zh-CN"/>
              </w:rPr>
              <w:t>/</w:t>
            </w:r>
            <w:r>
              <w:rPr>
                <w:rFonts w:hint="eastAsia"/>
                <w:sz w:val="20"/>
              </w:rPr>
              <w:t>5.2</w:t>
            </w:r>
            <w:r>
              <w:rPr>
                <w:rFonts w:hint="eastAsia"/>
                <w:sz w:val="20"/>
                <w:lang w:val="en-US" w:eastAsia="zh-CN"/>
              </w:rPr>
              <w:t>/</w:t>
            </w:r>
            <w:r>
              <w:rPr>
                <w:rFonts w:hint="eastAsia"/>
                <w:sz w:val="20"/>
              </w:rPr>
              <w:t>5.3</w:t>
            </w:r>
            <w:r>
              <w:rPr>
                <w:rFonts w:hint="eastAsia"/>
                <w:sz w:val="20"/>
                <w:lang w:val="en-US" w:eastAsia="zh-CN"/>
              </w:rPr>
              <w:t>/</w:t>
            </w:r>
            <w:r>
              <w:rPr>
                <w:rFonts w:hint="eastAsia"/>
                <w:sz w:val="20"/>
              </w:rPr>
              <w:t>6.1</w:t>
            </w:r>
            <w:r>
              <w:rPr>
                <w:rFonts w:hint="eastAsia"/>
                <w:sz w:val="20"/>
                <w:lang w:val="en-US" w:eastAsia="zh-CN"/>
              </w:rPr>
              <w:t>/</w:t>
            </w:r>
          </w:p>
          <w:p>
            <w:pPr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7.1</w:t>
            </w:r>
            <w:r>
              <w:rPr>
                <w:rFonts w:hint="eastAsia"/>
                <w:sz w:val="20"/>
                <w:lang w:val="en-US" w:eastAsia="zh-CN"/>
              </w:rPr>
              <w:t>/</w:t>
            </w:r>
            <w:r>
              <w:rPr>
                <w:rFonts w:hint="eastAsia"/>
                <w:sz w:val="20"/>
              </w:rPr>
              <w:t>9.3</w:t>
            </w:r>
            <w:r>
              <w:rPr>
                <w:rFonts w:hint="eastAsia"/>
                <w:sz w:val="20"/>
                <w:lang w:val="en-US" w:eastAsia="zh-CN"/>
              </w:rPr>
              <w:t>/10.2</w:t>
            </w:r>
          </w:p>
        </w:tc>
        <w:tc>
          <w:tcPr>
            <w:tcW w:w="1054" w:type="dxa"/>
            <w:tcBorders>
              <w:right w:val="single" w:color="auto" w:sz="8" w:space="0"/>
            </w:tcBorders>
          </w:tcPr>
          <w:p>
            <w:pPr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rPr>
                <w:rFonts w:hint="eastAsia"/>
                <w:sz w:val="20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9</w:t>
            </w:r>
            <w:r>
              <w:rPr>
                <w:rFonts w:hint="eastAsia"/>
                <w:sz w:val="20"/>
              </w:rPr>
              <w:t>: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rFonts w:hint="eastAsia"/>
                <w:sz w:val="20"/>
              </w:rPr>
              <w:t>0</w:t>
            </w:r>
            <w:r>
              <w:rPr>
                <w:rFonts w:hint="eastAsia"/>
                <w:sz w:val="20"/>
                <w:lang w:val="en-US" w:eastAsia="zh-CN"/>
              </w:rPr>
              <w:t>-12:00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技术部</w:t>
            </w:r>
          </w:p>
        </w:tc>
        <w:tc>
          <w:tcPr>
            <w:tcW w:w="3982" w:type="dxa"/>
            <w:vAlign w:val="top"/>
          </w:tcPr>
          <w:p>
            <w:pPr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岗位、职责和权限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rFonts w:hint="eastAsia"/>
                <w:sz w:val="20"/>
              </w:rPr>
              <w:t>目标、能源指</w:t>
            </w:r>
            <w:r>
              <w:rPr>
                <w:rFonts w:hint="eastAsia"/>
                <w:sz w:val="20"/>
                <w:lang w:val="en-US" w:eastAsia="zh-CN"/>
              </w:rPr>
              <w:t>标</w:t>
            </w:r>
            <w:r>
              <w:rPr>
                <w:rFonts w:hint="eastAsia"/>
                <w:sz w:val="20"/>
              </w:rPr>
              <w:t>及</w:t>
            </w:r>
            <w:r>
              <w:rPr>
                <w:rFonts w:hint="eastAsia"/>
                <w:sz w:val="20"/>
                <w:lang w:val="en-US" w:eastAsia="zh-CN"/>
              </w:rPr>
              <w:t>完成情况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  <w:lang w:val="en-US" w:eastAsia="zh-CN"/>
              </w:rPr>
              <w:t>沟通交流、运行控制、设计；法律法规要求和其他要求的合规性评价；内部审核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EnMS: 5.3/6.2/7.4/8.1/</w:t>
            </w:r>
          </w:p>
          <w:p>
            <w:pPr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8.2</w:t>
            </w:r>
            <w:bookmarkStart w:id="29" w:name="_GoBack"/>
            <w:bookmarkEnd w:id="29"/>
            <w:r>
              <w:rPr>
                <w:rFonts w:hint="eastAsia"/>
                <w:sz w:val="20"/>
                <w:lang w:val="en-US" w:eastAsia="zh-CN"/>
              </w:rPr>
              <w:t>/9.2/</w:t>
            </w:r>
          </w:p>
        </w:tc>
        <w:tc>
          <w:tcPr>
            <w:tcW w:w="1054" w:type="dxa"/>
            <w:tcBorders>
              <w:right w:val="single" w:color="auto" w:sz="8" w:space="0"/>
            </w:tcBorders>
          </w:tcPr>
          <w:p>
            <w:pPr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A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rPr>
                <w:rFonts w:hint="default"/>
                <w:sz w:val="20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12</w:t>
            </w:r>
            <w:r>
              <w:rPr>
                <w:rFonts w:hint="eastAsia"/>
                <w:sz w:val="20"/>
              </w:rPr>
              <w:t>: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rFonts w:hint="eastAsia"/>
                <w:sz w:val="20"/>
              </w:rPr>
              <w:t>0</w:t>
            </w:r>
            <w:r>
              <w:rPr>
                <w:rFonts w:hint="eastAsia"/>
                <w:sz w:val="20"/>
                <w:lang w:val="en-US" w:eastAsia="zh-CN"/>
              </w:rPr>
              <w:t>-17:00</w:t>
            </w:r>
          </w:p>
        </w:tc>
        <w:tc>
          <w:tcPr>
            <w:tcW w:w="1150" w:type="dxa"/>
          </w:tcPr>
          <w:p>
            <w:pPr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综合部</w:t>
            </w:r>
          </w:p>
          <w:p>
            <w:pPr>
              <w:rPr>
                <w:rFonts w:hint="eastAsia"/>
                <w:sz w:val="20"/>
                <w:lang w:val="en-US" w:eastAsia="zh-CN"/>
              </w:rPr>
            </w:pPr>
          </w:p>
        </w:tc>
        <w:tc>
          <w:tcPr>
            <w:tcW w:w="3982" w:type="dxa"/>
            <w:vAlign w:val="top"/>
          </w:tcPr>
          <w:p>
            <w:pPr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综合部的岗位、职责和权限；目标、能源指标及其实现的策划；能源意识和信息交流；文件化信息；运行的策划和控制；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EnMS：</w:t>
            </w:r>
          </w:p>
          <w:p>
            <w:pPr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5.3/6.2/7.2/7.3/</w:t>
            </w:r>
          </w:p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7.4/7.5/8.1/</w:t>
            </w:r>
          </w:p>
        </w:tc>
        <w:tc>
          <w:tcPr>
            <w:tcW w:w="1054" w:type="dxa"/>
            <w:tcBorders>
              <w:right w:val="single" w:color="auto" w:sz="8" w:space="0"/>
            </w:tcBorders>
            <w:vAlign w:val="top"/>
          </w:tcPr>
          <w:p>
            <w:pPr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rPr>
                <w:rFonts w:hint="default"/>
                <w:sz w:val="20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12</w:t>
            </w:r>
            <w:r>
              <w:rPr>
                <w:rFonts w:hint="eastAsia"/>
                <w:sz w:val="20"/>
              </w:rPr>
              <w:t>: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rFonts w:hint="eastAsia"/>
                <w:sz w:val="20"/>
              </w:rPr>
              <w:t>0</w:t>
            </w:r>
            <w:r>
              <w:rPr>
                <w:rFonts w:hint="eastAsia"/>
                <w:sz w:val="20"/>
                <w:lang w:val="en-US" w:eastAsia="zh-CN"/>
              </w:rPr>
              <w:t>-17:00</w:t>
            </w:r>
          </w:p>
        </w:tc>
        <w:tc>
          <w:tcPr>
            <w:tcW w:w="1150" w:type="dxa"/>
          </w:tcPr>
          <w:p>
            <w:pPr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采购部</w:t>
            </w:r>
          </w:p>
        </w:tc>
        <w:tc>
          <w:tcPr>
            <w:tcW w:w="3982" w:type="dxa"/>
            <w:vAlign w:val="top"/>
          </w:tcPr>
          <w:p>
            <w:pPr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采购部的</w:t>
            </w:r>
            <w:r>
              <w:rPr>
                <w:rFonts w:hint="eastAsia"/>
                <w:sz w:val="20"/>
              </w:rPr>
              <w:t>职责和权限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rFonts w:hint="eastAsia"/>
                <w:sz w:val="20"/>
                <w:lang w:val="en-US" w:eastAsia="zh-CN"/>
              </w:rPr>
              <w:t>主要用能设备/采购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E</w:t>
            </w:r>
            <w:r>
              <w:rPr>
                <w:rFonts w:hint="eastAsia"/>
                <w:sz w:val="20"/>
                <w:lang w:val="en-US" w:eastAsia="zh-CN"/>
              </w:rPr>
              <w:t>n</w:t>
            </w:r>
            <w:r>
              <w:rPr>
                <w:rFonts w:hint="eastAsia"/>
                <w:sz w:val="20"/>
              </w:rPr>
              <w:t>MS: 5.3</w:t>
            </w:r>
            <w:r>
              <w:rPr>
                <w:rFonts w:hint="eastAsia"/>
                <w:sz w:val="20"/>
                <w:lang w:val="en-US" w:eastAsia="zh-CN"/>
              </w:rPr>
              <w:t>/8</w:t>
            </w:r>
            <w:r>
              <w:rPr>
                <w:rFonts w:hint="eastAsia"/>
                <w:sz w:val="20"/>
              </w:rPr>
              <w:t>.</w:t>
            </w:r>
            <w:r>
              <w:rPr>
                <w:rFonts w:hint="eastAsia"/>
                <w:sz w:val="20"/>
                <w:lang w:val="en-US" w:eastAsia="zh-CN"/>
              </w:rPr>
              <w:t>1/</w:t>
            </w:r>
            <w:r>
              <w:rPr>
                <w:rFonts w:hint="eastAsia"/>
                <w:sz w:val="20"/>
              </w:rPr>
              <w:t>8.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</w:p>
        </w:tc>
        <w:tc>
          <w:tcPr>
            <w:tcW w:w="1054" w:type="dxa"/>
            <w:tcBorders>
              <w:right w:val="single" w:color="auto" w:sz="8" w:space="0"/>
            </w:tcBorders>
            <w:vAlign w:val="top"/>
          </w:tcPr>
          <w:p>
            <w:pPr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A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</w:tcPr>
          <w:p>
            <w:pPr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8-16</w:t>
            </w:r>
          </w:p>
        </w:tc>
        <w:tc>
          <w:tcPr>
            <w:tcW w:w="1460" w:type="dxa"/>
          </w:tcPr>
          <w:p>
            <w:pPr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第2天</w:t>
            </w:r>
          </w:p>
        </w:tc>
        <w:tc>
          <w:tcPr>
            <w:tcW w:w="1150" w:type="dxa"/>
          </w:tcPr>
          <w:p>
            <w:pPr>
              <w:rPr>
                <w:rFonts w:hint="eastAsia"/>
                <w:sz w:val="20"/>
                <w:lang w:val="en-US" w:eastAsia="zh-CN"/>
              </w:rPr>
            </w:pPr>
          </w:p>
        </w:tc>
        <w:tc>
          <w:tcPr>
            <w:tcW w:w="3982" w:type="dxa"/>
            <w:vAlign w:val="top"/>
          </w:tcPr>
          <w:p>
            <w:pPr>
              <w:rPr>
                <w:rFonts w:hint="eastAsia"/>
                <w:sz w:val="20"/>
              </w:rPr>
            </w:pPr>
          </w:p>
        </w:tc>
        <w:tc>
          <w:tcPr>
            <w:tcW w:w="1695" w:type="dxa"/>
          </w:tcPr>
          <w:p>
            <w:pPr>
              <w:rPr>
                <w:rFonts w:hint="eastAsia"/>
                <w:sz w:val="20"/>
              </w:rPr>
            </w:pPr>
          </w:p>
        </w:tc>
        <w:tc>
          <w:tcPr>
            <w:tcW w:w="1054" w:type="dxa"/>
            <w:tcBorders>
              <w:right w:val="single" w:color="auto" w:sz="8" w:space="0"/>
            </w:tcBorders>
          </w:tcPr>
          <w:p>
            <w:pPr>
              <w:rPr>
                <w:rFonts w:hint="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rPr>
                <w:rFonts w:hint="eastAsia"/>
                <w:sz w:val="20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8:00-16:00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生产部</w:t>
            </w:r>
          </w:p>
        </w:tc>
        <w:tc>
          <w:tcPr>
            <w:tcW w:w="3982" w:type="dxa"/>
            <w:vAlign w:val="top"/>
          </w:tcPr>
          <w:p>
            <w:pPr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生产部的</w:t>
            </w:r>
            <w:r>
              <w:rPr>
                <w:rFonts w:hint="eastAsia"/>
                <w:sz w:val="20"/>
              </w:rPr>
              <w:t>岗位、职责和权限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rFonts w:hint="eastAsia"/>
                <w:sz w:val="20"/>
                <w:lang w:val="en-US" w:eastAsia="zh-CN"/>
              </w:rPr>
              <w:t>公司及生产部的</w:t>
            </w:r>
            <w:r>
              <w:rPr>
                <w:rFonts w:hint="eastAsia"/>
                <w:sz w:val="20"/>
              </w:rPr>
              <w:t>能源目标、指</w:t>
            </w:r>
            <w:r>
              <w:rPr>
                <w:rFonts w:hint="eastAsia"/>
                <w:sz w:val="20"/>
                <w:lang w:val="en-US" w:eastAsia="zh-CN"/>
              </w:rPr>
              <w:t>标</w:t>
            </w:r>
            <w:r>
              <w:rPr>
                <w:rFonts w:hint="eastAsia"/>
                <w:sz w:val="20"/>
              </w:rPr>
              <w:t>及</w:t>
            </w:r>
            <w:r>
              <w:rPr>
                <w:rFonts w:hint="eastAsia"/>
                <w:sz w:val="20"/>
                <w:lang w:val="en-US" w:eastAsia="zh-CN"/>
              </w:rPr>
              <w:t>控制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rFonts w:hint="eastAsia"/>
                <w:sz w:val="20"/>
              </w:rPr>
              <w:t>能源评审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rFonts w:hint="eastAsia"/>
                <w:sz w:val="20"/>
              </w:rPr>
              <w:t>能源绩效参数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rFonts w:hint="eastAsia"/>
                <w:sz w:val="20"/>
              </w:rPr>
              <w:t>能源基准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rFonts w:hint="eastAsia"/>
                <w:sz w:val="20"/>
              </w:rPr>
              <w:t>采集能源数据的策划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rFonts w:hint="eastAsia"/>
                <w:sz w:val="20"/>
              </w:rPr>
              <w:t>运行的策划和控制</w:t>
            </w:r>
            <w:r>
              <w:rPr>
                <w:rFonts w:hint="eastAsia"/>
                <w:sz w:val="20"/>
                <w:lang w:val="en-US" w:eastAsia="zh-CN"/>
              </w:rPr>
              <w:t>；</w:t>
            </w:r>
            <w:r>
              <w:rPr>
                <w:rFonts w:hint="eastAsia"/>
                <w:sz w:val="20"/>
              </w:rPr>
              <w:t>能源绩效和能源管理体系的监视、测量、分析和评价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rFonts w:hint="eastAsia"/>
                <w:sz w:val="20"/>
              </w:rPr>
              <w:t>不符合与纠正措施</w:t>
            </w:r>
            <w:r>
              <w:rPr>
                <w:rFonts w:hint="eastAsia"/>
                <w:sz w:val="20"/>
                <w:lang w:eastAsia="zh-CN"/>
              </w:rPr>
              <w:t>。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E</w:t>
            </w:r>
            <w:r>
              <w:rPr>
                <w:rFonts w:hint="eastAsia"/>
                <w:sz w:val="20"/>
                <w:lang w:val="en-US" w:eastAsia="zh-CN"/>
              </w:rPr>
              <w:t>n</w:t>
            </w:r>
            <w:r>
              <w:rPr>
                <w:rFonts w:hint="eastAsia"/>
                <w:sz w:val="20"/>
              </w:rPr>
              <w:t>MS:</w:t>
            </w:r>
          </w:p>
          <w:p>
            <w:pPr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5.3</w:t>
            </w:r>
            <w:r>
              <w:rPr>
                <w:rFonts w:hint="eastAsia"/>
                <w:sz w:val="20"/>
                <w:lang w:val="en-US" w:eastAsia="zh-CN"/>
              </w:rPr>
              <w:t>/</w:t>
            </w:r>
            <w:r>
              <w:rPr>
                <w:rFonts w:hint="eastAsia"/>
                <w:sz w:val="20"/>
              </w:rPr>
              <w:t>6.2</w:t>
            </w:r>
            <w:r>
              <w:rPr>
                <w:rFonts w:hint="eastAsia"/>
                <w:sz w:val="20"/>
                <w:lang w:val="en-US" w:eastAsia="zh-CN"/>
              </w:rPr>
              <w:t>/</w:t>
            </w:r>
            <w:r>
              <w:rPr>
                <w:rFonts w:hint="eastAsia"/>
                <w:sz w:val="20"/>
              </w:rPr>
              <w:t>6.3</w:t>
            </w:r>
            <w:r>
              <w:rPr>
                <w:rFonts w:hint="eastAsia"/>
                <w:sz w:val="20"/>
                <w:lang w:val="en-US" w:eastAsia="zh-CN"/>
              </w:rPr>
              <w:t>/</w:t>
            </w:r>
            <w:r>
              <w:rPr>
                <w:rFonts w:hint="eastAsia"/>
                <w:sz w:val="20"/>
              </w:rPr>
              <w:t>6.4</w:t>
            </w:r>
            <w:r>
              <w:rPr>
                <w:rFonts w:hint="eastAsia"/>
                <w:sz w:val="20"/>
                <w:lang w:val="en-US" w:eastAsia="zh-CN"/>
              </w:rPr>
              <w:t>/</w:t>
            </w:r>
          </w:p>
          <w:p>
            <w:pPr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6.5</w:t>
            </w:r>
            <w:r>
              <w:rPr>
                <w:rFonts w:hint="eastAsia"/>
                <w:sz w:val="20"/>
                <w:lang w:val="en-US" w:eastAsia="zh-CN"/>
              </w:rPr>
              <w:t>/</w:t>
            </w:r>
            <w:r>
              <w:rPr>
                <w:rFonts w:hint="eastAsia"/>
                <w:sz w:val="20"/>
              </w:rPr>
              <w:t>6.6</w:t>
            </w:r>
            <w:r>
              <w:rPr>
                <w:rFonts w:hint="eastAsia"/>
                <w:sz w:val="20"/>
                <w:lang w:val="en-US" w:eastAsia="zh-CN"/>
              </w:rPr>
              <w:t>/</w:t>
            </w:r>
            <w:r>
              <w:rPr>
                <w:rFonts w:hint="eastAsia"/>
                <w:sz w:val="20"/>
              </w:rPr>
              <w:t>8.1</w:t>
            </w:r>
            <w:r>
              <w:rPr>
                <w:rFonts w:hint="eastAsia"/>
                <w:sz w:val="20"/>
                <w:lang w:val="en-US" w:eastAsia="zh-CN"/>
              </w:rPr>
              <w:t>/</w:t>
            </w:r>
          </w:p>
          <w:p>
            <w:pPr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9.1.1</w:t>
            </w:r>
            <w:r>
              <w:rPr>
                <w:rFonts w:hint="eastAsia"/>
                <w:sz w:val="20"/>
                <w:lang w:val="en-US" w:eastAsia="zh-CN"/>
              </w:rPr>
              <w:t>/</w:t>
            </w:r>
            <w:r>
              <w:rPr>
                <w:rFonts w:hint="eastAsia"/>
                <w:sz w:val="20"/>
              </w:rPr>
              <w:t>10.1</w:t>
            </w:r>
          </w:p>
        </w:tc>
        <w:tc>
          <w:tcPr>
            <w:tcW w:w="1054" w:type="dxa"/>
            <w:tcBorders>
              <w:right w:val="single" w:color="auto" w:sz="8" w:space="0"/>
            </w:tcBorders>
            <w:vAlign w:val="top"/>
          </w:tcPr>
          <w:p>
            <w:pPr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A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rPr>
                <w:rFonts w:hint="default"/>
                <w:sz w:val="20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8:00-16:00</w:t>
            </w:r>
          </w:p>
        </w:tc>
        <w:tc>
          <w:tcPr>
            <w:tcW w:w="1150" w:type="dxa"/>
          </w:tcPr>
          <w:p>
            <w:pPr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经营部</w:t>
            </w:r>
          </w:p>
        </w:tc>
        <w:tc>
          <w:tcPr>
            <w:tcW w:w="3982" w:type="dxa"/>
          </w:tcPr>
          <w:p>
            <w:pPr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岗位、职责和权限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rFonts w:hint="eastAsia"/>
                <w:sz w:val="20"/>
              </w:rPr>
              <w:t>能源指</w:t>
            </w:r>
            <w:r>
              <w:rPr>
                <w:rFonts w:hint="eastAsia"/>
                <w:sz w:val="20"/>
                <w:lang w:val="en-US" w:eastAsia="zh-CN"/>
              </w:rPr>
              <w:t>标完成情况；</w:t>
            </w:r>
            <w:r>
              <w:rPr>
                <w:rFonts w:hint="eastAsia"/>
                <w:sz w:val="20"/>
              </w:rPr>
              <w:t>运行控制</w:t>
            </w:r>
          </w:p>
        </w:tc>
        <w:tc>
          <w:tcPr>
            <w:tcW w:w="1695" w:type="dxa"/>
          </w:tcPr>
          <w:p>
            <w:pPr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E</w:t>
            </w:r>
            <w:r>
              <w:rPr>
                <w:rFonts w:hint="eastAsia"/>
                <w:sz w:val="20"/>
                <w:lang w:val="en-US" w:eastAsia="zh-CN"/>
              </w:rPr>
              <w:t>n</w:t>
            </w:r>
            <w:r>
              <w:rPr>
                <w:rFonts w:hint="eastAsia"/>
                <w:sz w:val="20"/>
              </w:rPr>
              <w:t>MS: 5.3</w:t>
            </w:r>
            <w:r>
              <w:rPr>
                <w:rFonts w:hint="eastAsia"/>
                <w:sz w:val="20"/>
                <w:lang w:val="en-US" w:eastAsia="zh-CN"/>
              </w:rPr>
              <w:t>/</w:t>
            </w:r>
            <w:r>
              <w:rPr>
                <w:rFonts w:hint="eastAsia"/>
                <w:sz w:val="20"/>
              </w:rPr>
              <w:t>6.2</w:t>
            </w:r>
            <w:r>
              <w:rPr>
                <w:rFonts w:hint="eastAsia"/>
                <w:sz w:val="20"/>
                <w:lang w:val="en-US" w:eastAsia="zh-CN"/>
              </w:rPr>
              <w:t>/</w:t>
            </w:r>
            <w:r>
              <w:rPr>
                <w:rFonts w:hint="eastAsia"/>
                <w:sz w:val="20"/>
              </w:rPr>
              <w:t>8.1</w:t>
            </w:r>
          </w:p>
        </w:tc>
        <w:tc>
          <w:tcPr>
            <w:tcW w:w="1054" w:type="dxa"/>
            <w:tcBorders>
              <w:right w:val="single" w:color="auto" w:sz="8" w:space="0"/>
            </w:tcBorders>
          </w:tcPr>
          <w:p>
            <w:pPr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rPr>
                <w:rFonts w:hint="default"/>
                <w:sz w:val="20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16:00-16:30</w:t>
            </w:r>
          </w:p>
        </w:tc>
        <w:tc>
          <w:tcPr>
            <w:tcW w:w="1150" w:type="dxa"/>
          </w:tcPr>
          <w:p>
            <w:pPr>
              <w:rPr>
                <w:rFonts w:hint="eastAsia"/>
                <w:sz w:val="20"/>
                <w:lang w:val="en-US" w:eastAsia="zh-CN"/>
              </w:rPr>
            </w:pPr>
          </w:p>
        </w:tc>
        <w:tc>
          <w:tcPr>
            <w:tcW w:w="3982" w:type="dxa"/>
          </w:tcPr>
          <w:p>
            <w:pPr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末次会议、审核发现宣告、审核结论</w:t>
            </w:r>
          </w:p>
        </w:tc>
        <w:tc>
          <w:tcPr>
            <w:tcW w:w="1695" w:type="dxa"/>
          </w:tcPr>
          <w:p>
            <w:pPr>
              <w:rPr>
                <w:rFonts w:hint="eastAsia"/>
                <w:sz w:val="20"/>
                <w:lang w:val="en-US" w:eastAsia="zh-CN"/>
              </w:rPr>
            </w:pPr>
          </w:p>
        </w:tc>
        <w:tc>
          <w:tcPr>
            <w:tcW w:w="1054" w:type="dxa"/>
            <w:tcBorders>
              <w:right w:val="single" w:color="auto" w:sz="8" w:space="0"/>
            </w:tcBorders>
          </w:tcPr>
          <w:p>
            <w:pPr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AB</w:t>
            </w:r>
          </w:p>
        </w:tc>
      </w:tr>
    </w:tbl>
    <w:p>
      <w:pPr>
        <w:pStyle w:val="11"/>
        <w:numPr>
          <w:ilvl w:val="0"/>
          <w:numId w:val="0"/>
        </w:numPr>
        <w:spacing w:line="300" w:lineRule="exact"/>
        <w:rPr>
          <w:rFonts w:hint="default" w:ascii="宋体" w:hAnsi="宋体"/>
          <w:b/>
          <w:sz w:val="18"/>
          <w:szCs w:val="18"/>
          <w:lang w:val="en-US"/>
        </w:rPr>
      </w:pPr>
      <w:r>
        <w:rPr>
          <w:rFonts w:hint="eastAsia" w:ascii="宋体" w:hAnsi="宋体"/>
          <w:b/>
          <w:sz w:val="18"/>
          <w:szCs w:val="18"/>
        </w:rPr>
        <w:t>注：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午餐时间12：00-12：30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hOTUxOWU4NmEyZTY3NTg5Zjg0ZDY5NTZmMzA5NGQifQ=="/>
  </w:docVars>
  <w:rsids>
    <w:rsidRoot w:val="00000000"/>
    <w:rsid w:val="0CFA7853"/>
    <w:rsid w:val="1D891FCB"/>
    <w:rsid w:val="2E2A2D25"/>
    <w:rsid w:val="45D63506"/>
    <w:rsid w:val="4EC14E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1426</Words>
  <Characters>2052</Characters>
  <Lines>37</Lines>
  <Paragraphs>10</Paragraphs>
  <TotalTime>2</TotalTime>
  <ScaleCrop>false</ScaleCrop>
  <LinksUpToDate>false</LinksUpToDate>
  <CharactersWithSpaces>2101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开门大吉～ISO认证服务</cp:lastModifiedBy>
  <dcterms:modified xsi:type="dcterms:W3CDTF">2022-08-23T03:02:35Z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2052-11.1.0.12313</vt:lpwstr>
  </property>
</Properties>
</file>