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ascii="楷体" w:hAnsi="楷体" w:eastAsia="楷体"/>
                <w:b/>
                <w:color w:val="000000"/>
                <w:sz w:val="32"/>
                <w:szCs w:val="32"/>
              </w:rPr>
              <w:t>内蒙古杭萧盛基绿色建筑科技有限公司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杜凤磊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257175</wp:posOffset>
                  </wp:positionV>
                  <wp:extent cx="4988560" cy="1920240"/>
                  <wp:effectExtent l="0" t="0" r="2540" b="1016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混凝土：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284480</wp:posOffset>
                  </wp:positionV>
                  <wp:extent cx="4988560" cy="2705100"/>
                  <wp:effectExtent l="0" t="0" r="254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干混砂浆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混凝土：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主要能源使用：生产用电和水、厂内运输用柴油；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vertAlign w:val="superscript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主要能源绩效参数：综合能耗tce，生产综合能耗kgce/m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，运输综合能耗kgce/m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干混砂浆：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主要能源使用：生产用电、厂内运输用柴油；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vertAlign w:val="superscript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主要能源绩效参数：综合能耗tce，生产综合能耗kgce/t，运输综合能耗kgce/t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节约能源法、合同法、计量法、能源管理体系、建筑材料企业能源管理体系认证要求、商品混凝土生产能源消耗限额标准、综合能耗计算通则等。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混凝土、砂浆的其他专业知识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eastAsia="宋体"/>
                <w:b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134620</wp:posOffset>
                  </wp:positionV>
                  <wp:extent cx="589280" cy="295910"/>
                  <wp:effectExtent l="0" t="0" r="7620" b="8890"/>
                  <wp:wrapSquare wrapText="bothSides"/>
                  <wp:docPr id="8" name="图片 8" descr="166045336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60453364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187325</wp:posOffset>
                  </wp:positionV>
                  <wp:extent cx="647700" cy="304800"/>
                  <wp:effectExtent l="0" t="0" r="0" b="0"/>
                  <wp:wrapSquare wrapText="bothSides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2022.8.13</w:t>
            </w:r>
            <w:bookmarkStart w:id="1" w:name="_GoBack"/>
            <w:bookmarkEnd w:id="1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0DCF04CD"/>
    <w:rsid w:val="40EC2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135</Words>
  <Characters>138</Characters>
  <Lines>2</Lines>
  <Paragraphs>1</Paragraphs>
  <TotalTime>0</TotalTime>
  <ScaleCrop>false</ScaleCrop>
  <LinksUpToDate>false</LinksUpToDate>
  <CharactersWithSpaces>138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2022-08-16T08:28:27Z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