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扬州恒基达鑫国际化工仓储有限公司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2.10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范玲玲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工艺流程：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b/>
                <w:sz w:val="20"/>
                <w:lang w:val="en-US" w:eastAsia="zh-CN"/>
              </w:rPr>
            </w:pPr>
            <w:r>
              <w:drawing>
                <wp:inline distT="0" distB="0" distL="114300" distR="114300">
                  <wp:extent cx="4998085" cy="1584325"/>
                  <wp:effectExtent l="0" t="0" r="5715" b="31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08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能源种类：水、电、蒸汽、氮气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主要能源绩效参数：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综合能耗为tce;单位吞吐量综合能耗为kgce/万吨；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中华人民共和国节约能源法，国家主席令〔</w:t>
            </w:r>
            <w:r>
              <w:rPr>
                <w:rFonts w:hint="default"/>
                <w:b/>
                <w:sz w:val="20"/>
                <w:lang w:val="en-US" w:eastAsia="zh-CN"/>
              </w:rPr>
              <w:t>2007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〕第 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77 </w:t>
            </w:r>
            <w:r>
              <w:rPr>
                <w:rFonts w:hint="eastAsia"/>
                <w:b/>
                <w:sz w:val="20"/>
                <w:lang w:val="en-US" w:eastAsia="zh-CN"/>
              </w:rPr>
              <w:t>号，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2018 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年修正）；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《高耗能落后机电设备（产品）淘汰目录》（第一～第四批）；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相关标准和规范</w:t>
            </w:r>
            <w:r>
              <w:rPr>
                <w:rFonts w:hint="default"/>
                <w:b/>
                <w:sz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《用能单位能源计量器具配备和管理通则》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 17167-2006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《综合能耗计算通则》</w:t>
            </w:r>
            <w:r>
              <w:rPr>
                <w:rFonts w:hint="default"/>
                <w:b/>
                <w:sz w:val="20"/>
                <w:lang w:val="en-US" w:eastAsia="zh-CN"/>
              </w:rPr>
              <w:t>GB/T 2589-2020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仓储相关的能源管理知识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190500</wp:posOffset>
                  </wp:positionV>
                  <wp:extent cx="777240" cy="234950"/>
                  <wp:effectExtent l="0" t="0" r="0" b="5715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144780</wp:posOffset>
                  </wp:positionV>
                  <wp:extent cx="647700" cy="304800"/>
                  <wp:effectExtent l="0" t="0" r="0" b="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2022.8.2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5FC6F1B"/>
    <w:rsid w:val="56372117"/>
    <w:rsid w:val="595E35AA"/>
    <w:rsid w:val="6B0E2BAB"/>
    <w:rsid w:val="6BF956E2"/>
    <w:rsid w:val="75894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iPriority w:val="0"/>
    <w:rPr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2022-08-07T03:35:15Z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2052-11.1.0.11435</vt:lpwstr>
  </property>
</Properties>
</file>