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03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85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抽样计划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涉及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受审核部门：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主管领导：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胡一鸣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陪同人员：吕维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8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卢晶，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审核时间：202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2.08.09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8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审核条款：Q:5.3/6.2/8.2/8.4/8.5.5/9.1.2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组织的岗位、职责和权限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QMS:5.3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本部门主要负责采购、销售、供应商管理及相关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管理活动的实施与执行.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负责人沟通，描述的职责和权限与一体化管理体系的职能分配表基本一致。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质量目标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QMS:6.2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管理目标有：                               </w:t>
            </w:r>
          </w:p>
          <w:p>
            <w:p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合同评审完成率100%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顾客要求识别准确率≥95%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原材料采购及时率≥95%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原材料批次合格率≥99%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电网公司投诉、抱怨、通报次数0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交付及时率≥98%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顾客满意度≥90%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顾客投诉及时回复率100%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在用测量设备受检合格率100%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质量信息传递及时率100%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数据分析及时完成率100％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管理目标完成情况：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</w:rPr>
              <w:t>查到202</w:t>
            </w:r>
            <w:r>
              <w:rPr>
                <w:rFonts w:hint="eastAsia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2年6月30日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</w:rPr>
              <w:t>部门管理目标完成情况，以上管理目标已全部完成。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产品和服务的要求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8.2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通过和客户电话联系、上门回访、邮箱联系等方式进行服务宣传，向顾客介绍服务，回答顾客的咨询，让顾客了解公司及服务情况。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负责就合同或订单的处理，合同的评审，向顾客提供符合要求的服务。每年向顾客发放满意度调查表等形式了解顾客的需求和期望。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公司编制的管理手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册中规定了与服务有关要求的确定、评审以及更改的职责和工作流程要求。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顾客明确规定的要求：即有销售服务本身的质量要求也包括后续活动的要求。顾客没有明确规定，但预期或规定用途所必要的要求。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公司承接业务的方式主要是：通过与顾客签订合同，公司按顾客要求组织服务，并以传真等方式进行沟通、确认，并对销售要求等给予了明确。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公司收到合同后在公司内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OA系统发起合同审批流程进行评审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由综合部、生产技术部、财务、总经理审批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同意流程通过后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，即完成合同评审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抽查：</w:t>
            </w:r>
          </w:p>
          <w:p>
            <w:pPr>
              <w:spacing w:line="280" w:lineRule="exact"/>
              <w:ind w:firstLine="420" w:firstLineChars="200"/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1、202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.1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浙江溶力高新材料股份有限公司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签订蒸汽销售合同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，合同规定了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蒸汽的供应和计量方式、蒸汽费用的计算和付款方式、通知及蒸汽供应中断、期限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等条款，要求明确。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有合同审批流程。</w:t>
            </w:r>
          </w:p>
          <w:p>
            <w:pPr>
              <w:spacing w:line="280" w:lineRule="exact"/>
              <w:ind w:firstLine="420" w:firstLineChars="200"/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桐乡市东鸿服装有限公司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签订蒸汽销售合同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，合同规定了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蒸汽的供应和计量方式、蒸汽费用的计算和付款方式、通知及蒸汽供应中断、期限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等条款，要求明确。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有合同审批流程。</w:t>
            </w:r>
          </w:p>
          <w:p>
            <w:pPr>
              <w:spacing w:line="280" w:lineRule="exact"/>
              <w:ind w:firstLine="420" w:firstLineChars="200"/>
              <w:rPr>
                <w:rFonts w:hint="default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巨石集团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签订蒸汽销售合同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，合同规定了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蒸汽的供应和计量方式、蒸汽费用的计算和付款方式、通知及蒸汽供应中断、期限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等条款，要求明确。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有合同审批流程。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以上合同均已实施，合同评审在答复顾客之前进行。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与顾客的沟通由</w:t>
            </w: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生产技术部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负责，方法：通过手机、传真、微信等直接与固定客户保持日常联系，其内容包括：特殊要求、价格、后续服务等。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eastAsia="zh-CN"/>
              </w:rPr>
              <w:t>提供了《供热月报表》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 2022年3月、4月（损耗按实际流量），记录了低压、中压售热实际流程、供出、损耗、损耗率等情况。《蒸汽流量结算表》记录了使用的用户名称、实际用量、热耗补贴、计费流量、单价、开票金额等信息。由公司总经理冯宏、生计部分管副总王少云、生计部经理窦士芳、财务许高签批确认。</w:t>
            </w:r>
          </w:p>
          <w:p>
            <w:pPr>
              <w:spacing w:line="280" w:lineRule="exact"/>
              <w:ind w:firstLine="421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公司暂无合同变更情况发生。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外部提供过程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QMS:8.4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公司采购产品主要为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煤、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烘箱、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石膏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已编制形成《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合格供应商目录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共有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267家合格供方。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合格供方：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输煤带式输送机、防溢裙边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供方----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安徽攀登重工股份有限公司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：202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日进行供方的评价，形成《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合格供应商评审表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》一份，对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经营范围、注册资本、天眼查评分、产品使用质量状况、合同履约率、性价比评价、供货及时性、售后服务评价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进行评价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综合得分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84.5分，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总评等级为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供应商，评审结论：建议该供应商列入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22年度公司合格供应商目录。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冲洗水泵配件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供方----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安徽省天马泵阀集团有限公司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：202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日进行供方的评价，形成《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合格供应商评审表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》一份，对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经营范围、注册资本、天眼查评分、产品使用质量状况、合同履约率、性价比评价、供货及时性、售后服务评价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进行评价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综合得分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88.25分，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总评等级为优质供应商，评审结论：建议该供应商列入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22年度公司合格供应商目录。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石灰石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供方---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安吉嘉华建材有限公司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等：20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日进行供方的评价，形成《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合格供应商评审表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》一份，对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经营范围、注册资本、天眼查评分、产品使用质量状况、合同履约率、性价比评价、供货及时性、售后服务评价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进行评价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综合得分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83.75分，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总评等级为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供应商，评审结论：建议该供应商列入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22年度公司合格供应商目录。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煤的采购为定向采购，由集团总部公司浙江物产环保能源股份有限公司直接供应。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公司的外包过程为：设备安装、土建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外包情况：与浙江中天智汇安装工程有限公司2022年4月签订穗祥制衣支线蒸汽管道改造及智创园区蒸汽管道接入工程，合同编号为TIES-SG-RW-22-07，该合同规定了施工要求、交期、质量标准、付款方式等。提供该项目的竣工资料，包含重要文件企业资质文件、施工人员资格证、特种设别维修许可证等；施工记录：检查记录、检测报告等，竣工记录：竣工报告、材料设备质量保证资料、无损检测机构资质及人员、报告等，竣工图。</w:t>
            </w:r>
          </w:p>
          <w:p>
            <w:pPr>
              <w:spacing w:line="280" w:lineRule="exact"/>
              <w:ind w:firstLine="420" w:firstLineChars="200"/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公司大型的采购有需求由生产技术部人员发起采购（招标）申请审批流程，将采购的物资类别，采购原因，预估金额，要求达标的技术规范及询价邀请函进行审批，由总经理冯宏批准后执行。查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4月15日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电气低压柜采购项目，中标单位：宁波天安智能电网科技股份有限公司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有各参加招标单位报价单、评审表、中标通知书等，确认了中标金额、交货期，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技术规范对相关交货要求进行规定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2022年3月21日备用空压机采购项目，中标单位：南京科远智慧科技集团股份有限公司，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有各参加招标单位报价单、评审表、中标通知书等，确认了中标金额、交货期，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技术规范对相关交货要求进行规定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。中标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签订采购合同。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查看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2022年5月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采购月跟踪表，内容包含，申购日期、状态、单据号、产品名产、型号、技术标准、单位、数量、供应商、到货时间及是否为紧急采购备注等信息。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交付后的活动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8.5.5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产品交付时，对客户销售人员进行培训，内容涉及结算、退货、投诉等。如客户在使用过程中出现问题，先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通过电话进行解决，如远程无法解决，派专人到客户现场实地解决。</w:t>
            </w:r>
          </w:p>
          <w:p>
            <w:pPr>
              <w:spacing w:line="280" w:lineRule="exact"/>
              <w:ind w:firstLine="420" w:firstLineChars="200"/>
              <w:rPr>
                <w:rFonts w:hint="default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查看交付后问题反馈提供的微信记录：2022年4月9日嘉兴市大翔实业有限公司反馈阀门不严，安排技术人员上门现场处理。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8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顾客满意</w:t>
            </w:r>
          </w:p>
        </w:tc>
        <w:tc>
          <w:tcPr>
            <w:tcW w:w="1035" w:type="dxa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QMS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公司已建立和保持了《顾客满意程度测量控制程序》，对顾客满意的监测的相关内容进行了规定，其包括了对调查时机、方式、方案等。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公司采取对主要顾客进行满意度调查的形式，共发出3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份《顾客满意度调查表》，有效回收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35份，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回收率100%。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调查内容有：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能源供应品质、故障解决时效、人员技能、对公司服务的满意度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等，查阅《顾客满意程度调查表》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调查表满分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100分计算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。查《顾客满意程度调查表》，记录真实有效。提供《顾客满意度统计分析表》，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每家顾客满意度总分值均为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100分，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顾客满意率达到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，无其他不满意及有效分析内容。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调查未发现有顾客投诉。</w:t>
            </w:r>
          </w:p>
        </w:tc>
        <w:tc>
          <w:tcPr>
            <w:tcW w:w="1585" w:type="dxa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Y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42545</wp:posOffset>
          </wp:positionV>
          <wp:extent cx="485775" cy="485775"/>
          <wp:effectExtent l="0" t="0" r="1905" b="190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BF0C3"/>
    <w:multiLevelType w:val="singleLevel"/>
    <w:tmpl w:val="F03BF0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0YTE0MGY2ZDNlMWRjNTY0YzZjODI1ZjhiNzdmYzQifQ=="/>
  </w:docVars>
  <w:rsids>
    <w:rsidRoot w:val="00F22611"/>
    <w:rsid w:val="000F2CEF"/>
    <w:rsid w:val="00162691"/>
    <w:rsid w:val="00263638"/>
    <w:rsid w:val="00295CDC"/>
    <w:rsid w:val="002F484C"/>
    <w:rsid w:val="00315297"/>
    <w:rsid w:val="00321960"/>
    <w:rsid w:val="00344AA3"/>
    <w:rsid w:val="00347B79"/>
    <w:rsid w:val="00355ECC"/>
    <w:rsid w:val="0036229B"/>
    <w:rsid w:val="003D7B7D"/>
    <w:rsid w:val="003F33A8"/>
    <w:rsid w:val="00401666"/>
    <w:rsid w:val="0049604C"/>
    <w:rsid w:val="004D0690"/>
    <w:rsid w:val="00507E92"/>
    <w:rsid w:val="005B20B0"/>
    <w:rsid w:val="00605D58"/>
    <w:rsid w:val="00655A1D"/>
    <w:rsid w:val="006704CA"/>
    <w:rsid w:val="0069320B"/>
    <w:rsid w:val="006B7275"/>
    <w:rsid w:val="007A72C4"/>
    <w:rsid w:val="00870586"/>
    <w:rsid w:val="008A6625"/>
    <w:rsid w:val="008E5568"/>
    <w:rsid w:val="00925A92"/>
    <w:rsid w:val="00987D09"/>
    <w:rsid w:val="00A615E8"/>
    <w:rsid w:val="00A92D54"/>
    <w:rsid w:val="00AF5445"/>
    <w:rsid w:val="00AF7A8A"/>
    <w:rsid w:val="00B97A59"/>
    <w:rsid w:val="00BC5955"/>
    <w:rsid w:val="00C26588"/>
    <w:rsid w:val="00C44524"/>
    <w:rsid w:val="00C717A2"/>
    <w:rsid w:val="00D37EF8"/>
    <w:rsid w:val="00D97452"/>
    <w:rsid w:val="00DD1FE4"/>
    <w:rsid w:val="00DF12DC"/>
    <w:rsid w:val="00EC20CB"/>
    <w:rsid w:val="00ED01B8"/>
    <w:rsid w:val="00F22611"/>
    <w:rsid w:val="00F47546"/>
    <w:rsid w:val="00F5368E"/>
    <w:rsid w:val="00F90642"/>
    <w:rsid w:val="00FC294A"/>
    <w:rsid w:val="025D4D8E"/>
    <w:rsid w:val="0DCC4AB3"/>
    <w:rsid w:val="0E8D1CD1"/>
    <w:rsid w:val="13056C9F"/>
    <w:rsid w:val="14517CAE"/>
    <w:rsid w:val="14D83306"/>
    <w:rsid w:val="15040A7A"/>
    <w:rsid w:val="15C94B0F"/>
    <w:rsid w:val="16FF392A"/>
    <w:rsid w:val="1B99078D"/>
    <w:rsid w:val="1C99418E"/>
    <w:rsid w:val="217725F9"/>
    <w:rsid w:val="218B06CF"/>
    <w:rsid w:val="24C376DD"/>
    <w:rsid w:val="2D6230D5"/>
    <w:rsid w:val="30086AEE"/>
    <w:rsid w:val="310C5FFB"/>
    <w:rsid w:val="318131D9"/>
    <w:rsid w:val="318E5CBC"/>
    <w:rsid w:val="34E15227"/>
    <w:rsid w:val="36AC3612"/>
    <w:rsid w:val="3765769F"/>
    <w:rsid w:val="39C20A18"/>
    <w:rsid w:val="3C772C94"/>
    <w:rsid w:val="3E5A05E9"/>
    <w:rsid w:val="42255769"/>
    <w:rsid w:val="438924F6"/>
    <w:rsid w:val="44AE6655"/>
    <w:rsid w:val="45D773CD"/>
    <w:rsid w:val="460622C0"/>
    <w:rsid w:val="470571F6"/>
    <w:rsid w:val="47484C91"/>
    <w:rsid w:val="49F6170B"/>
    <w:rsid w:val="4A2D63C1"/>
    <w:rsid w:val="4D904DAA"/>
    <w:rsid w:val="4DCC46BB"/>
    <w:rsid w:val="4E712365"/>
    <w:rsid w:val="54434DCB"/>
    <w:rsid w:val="57850F16"/>
    <w:rsid w:val="5A9A53AC"/>
    <w:rsid w:val="5B01367D"/>
    <w:rsid w:val="5CAA7BC5"/>
    <w:rsid w:val="5D284537"/>
    <w:rsid w:val="65A6554D"/>
    <w:rsid w:val="6AD466B8"/>
    <w:rsid w:val="6BB32CF7"/>
    <w:rsid w:val="6CA33476"/>
    <w:rsid w:val="6CCA09F8"/>
    <w:rsid w:val="6E9E269F"/>
    <w:rsid w:val="6F9A1B84"/>
    <w:rsid w:val="729C23A8"/>
    <w:rsid w:val="75DF5F11"/>
    <w:rsid w:val="7A6C2B05"/>
    <w:rsid w:val="7AF83DC3"/>
    <w:rsid w:val="7B4B48C4"/>
    <w:rsid w:val="7D162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905</Words>
  <Characters>5161</Characters>
  <Lines>43</Lines>
  <Paragraphs>12</Paragraphs>
  <TotalTime>0</TotalTime>
  <ScaleCrop>false</ScaleCrop>
  <LinksUpToDate>false</LinksUpToDate>
  <CharactersWithSpaces>6054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森林</cp:lastModifiedBy>
  <dcterms:modified xsi:type="dcterms:W3CDTF">2022-08-09T07:48:23Z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4AE47B89F9A74B10B4755300CC2E171A</vt:lpwstr>
  </property>
</Properties>
</file>