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桐乡泰爱斯环保能源有限公司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25.01.01;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27.01.00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项程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25.01.01;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27.01.00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卢晶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</w:pPr>
            <w:r>
              <w:rPr>
                <w:b/>
                <w:sz w:val="20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8255</wp:posOffset>
                  </wp:positionV>
                  <wp:extent cx="5053330" cy="1748790"/>
                  <wp:effectExtent l="0" t="0" r="6350" b="381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330" cy="174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主要锅炉运行、汽机运行、水处理运行、电气运行、上煤运行、卸煤、热工检修、锅炉/超排检修、汽化检修、电气检修、燃料检修等过程。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发电过程主要</w:t>
            </w:r>
            <w:r>
              <w:rPr>
                <w:rFonts w:hint="eastAsia"/>
                <w:b/>
                <w:sz w:val="20"/>
                <w:lang w:val="en-US" w:eastAsia="zh-CN"/>
              </w:rPr>
              <w:t>控制参数：</w:t>
            </w:r>
            <w:r>
              <w:rPr>
                <w:rFonts w:hint="eastAsia"/>
                <w:b/>
                <w:sz w:val="20"/>
              </w:rPr>
              <w:t>系统电压、发电机电压、发电机风温、励磁机、发电机功率、频率（50.01Hz），功率因素、发电机相电流、电压、温度等参数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供汽过程主要对蒸汽压力、流量等控制。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产品质量法、《电网运行准则》（GB/T31464）、《发电机组并网安全条件及评价》（GB/T28566）等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无型式试验要求。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但一般会有根据并网调度协议，确保电压、频率、相位等三要素，包括进行继电保护装置的有效性验收等。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电力并网相关知识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892175" cy="466090"/>
                  <wp:effectExtent l="0" t="0" r="6985" b="6350"/>
                  <wp:docPr id="1" name="图片 1" descr="项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项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2022-8-8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58420</wp:posOffset>
                  </wp:positionV>
                  <wp:extent cx="716280" cy="518160"/>
                  <wp:effectExtent l="0" t="0" r="0" b="0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2022-8-8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39D53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2022-08-08T01:25:04Z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