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hint="default" w:ascii="楷体" w:hAnsi="楷体" w:eastAsia="楷体"/>
                <w:lang w:val="en-US"/>
              </w:rPr>
            </w:pPr>
            <w:r>
              <w:rPr>
                <w:rFonts w:hint="eastAsia" w:ascii="楷体" w:hAnsi="楷体" w:eastAsia="楷体"/>
              </w:rPr>
              <w:t>受审核部门：</w:t>
            </w:r>
            <w:r>
              <w:rPr>
                <w:rFonts w:hint="eastAsia" w:ascii="楷体" w:hAnsi="楷体" w:eastAsia="楷体"/>
                <w:lang w:val="en-US" w:eastAsia="zh-CN"/>
              </w:rPr>
              <w:t>销售部</w:t>
            </w:r>
            <w:r>
              <w:rPr>
                <w:rFonts w:hint="eastAsia" w:ascii="楷体" w:hAnsi="楷体" w:eastAsia="楷体"/>
              </w:rPr>
              <w:t xml:space="preserve">        主管领导：</w:t>
            </w:r>
            <w:r>
              <w:rPr>
                <w:rFonts w:hint="eastAsia" w:ascii="楷体" w:hAnsi="楷体" w:eastAsia="楷体"/>
                <w:lang w:val="en-US" w:eastAsia="zh-CN"/>
              </w:rPr>
              <w:t xml:space="preserve">  朱勇</w:t>
            </w:r>
            <w:r>
              <w:rPr>
                <w:rFonts w:hint="eastAsia" w:ascii="楷体" w:hAnsi="楷体" w:eastAsia="楷体"/>
              </w:rPr>
              <w:t xml:space="preserve">  陪同人员：</w:t>
            </w:r>
            <w:r>
              <w:rPr>
                <w:rFonts w:hint="eastAsia" w:ascii="楷体" w:hAnsi="楷体" w:eastAsia="楷体"/>
                <w:lang w:val="en-US" w:eastAsia="zh-CN"/>
              </w:rPr>
              <w:t>李志强</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喻荣秋</w:t>
            </w:r>
            <w:r>
              <w:rPr>
                <w:rFonts w:hint="eastAsia" w:eastAsia="楷体"/>
                <w:sz w:val="20"/>
                <w:lang w:val="en-US" w:eastAsia="zh-CN"/>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w:t>
            </w:r>
            <w:r>
              <w:rPr>
                <w:rFonts w:hint="eastAsia" w:cs="Times New Roman"/>
                <w:b/>
                <w:kern w:val="2"/>
                <w:sz w:val="21"/>
                <w:szCs w:val="21"/>
                <w:lang w:val="en-US" w:eastAsia="zh-CN" w:bidi="ar-SA"/>
              </w:rPr>
              <w:t>.03.6</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ascii="宋体" w:hAnsi="宋体" w:eastAsia="Times New Roman"/>
                <w:sz w:val="21"/>
                <w:szCs w:val="21"/>
                <w:lang w:val="de-DE" w:eastAsia="de-DE"/>
              </w:rPr>
            </w:pPr>
            <w:r>
              <w:rPr>
                <w:rFonts w:hint="eastAsia" w:ascii="楷体" w:hAnsi="楷体" w:eastAsia="楷体"/>
              </w:rPr>
              <w:t>审核条款：</w:t>
            </w:r>
            <w:r>
              <w:rPr>
                <w:rFonts w:hint="eastAsia" w:ascii="宋体" w:hAnsi="宋体" w:eastAsia="Times New Roman"/>
                <w:sz w:val="21"/>
                <w:szCs w:val="21"/>
                <w:lang w:val="de-DE" w:eastAsia="de-DE"/>
              </w:rPr>
              <w:t>QMS：5.3、6.2、</w:t>
            </w:r>
            <w:r>
              <w:rPr>
                <w:rFonts w:ascii="宋体" w:hAnsi="宋体" w:eastAsia="Times New Roman"/>
                <w:sz w:val="21"/>
                <w:szCs w:val="21"/>
                <w:lang w:val="de-DE" w:eastAsia="de-DE"/>
              </w:rPr>
              <w:t>8.2</w:t>
            </w:r>
            <w:r>
              <w:rPr>
                <w:rFonts w:hint="eastAsia" w:ascii="宋体" w:hAnsi="宋体" w:eastAsia="Times New Roman"/>
                <w:sz w:val="21"/>
                <w:szCs w:val="21"/>
                <w:lang w:val="de-DE" w:eastAsia="de-DE"/>
              </w:rPr>
              <w:t>、8.5.3、9.1.2，</w:t>
            </w:r>
          </w:p>
          <w:p>
            <w:pPr>
              <w:spacing w:line="300" w:lineRule="exact"/>
              <w:rPr>
                <w:rFonts w:ascii="楷体" w:hAnsi="楷体" w:eastAsia="楷体"/>
              </w:rPr>
            </w:pP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 xml:space="preserve">供销部 </w:t>
            </w:r>
            <w:r>
              <w:rPr>
                <w:rFonts w:ascii="宋体" w:hAnsi="宋体" w:eastAsia="宋体" w:cs="宋体"/>
                <w:spacing w:val="-7"/>
                <w:kern w:val="2"/>
                <w:sz w:val="24"/>
                <w:lang w:val="zh-CN" w:eastAsia="zh-CN" w:bidi="zh-CN"/>
              </w:rPr>
              <w:t>的岗位、职责和权限</w:t>
            </w:r>
          </w:p>
          <w:p>
            <w:pPr>
              <w:rPr>
                <w:rFonts w:ascii="宋体" w:hAnsi="宋体" w:eastAsia="宋体" w:cs="宋体"/>
                <w:spacing w:val="-7"/>
                <w:kern w:val="2"/>
                <w:sz w:val="24"/>
                <w:lang w:val="zh-CN" w:eastAsia="zh-CN" w:bidi="zh-CN"/>
              </w:rPr>
            </w:pPr>
          </w:p>
        </w:tc>
        <w:tc>
          <w:tcPr>
            <w:tcW w:w="960" w:type="dxa"/>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5.3</w:t>
            </w:r>
          </w:p>
        </w:tc>
        <w:tc>
          <w:tcPr>
            <w:tcW w:w="10596" w:type="dxa"/>
          </w:tcPr>
          <w:p>
            <w:pPr>
              <w:pStyle w:val="46"/>
              <w:numPr>
                <w:ilvl w:val="0"/>
                <w:numId w:val="0"/>
              </w:numPr>
              <w:tabs>
                <w:tab w:val="left" w:pos="949"/>
              </w:tabs>
              <w:spacing w:before="33" w:after="0" w:line="240" w:lineRule="auto"/>
              <w:ind w:left="587" w:leftChars="0" w:right="0" w:rightChars="0"/>
              <w:jc w:val="left"/>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 xml:space="preserve"> 查见《管理手册》中人员岗位、职责和权限要求，规定了公司各个岗位的主要职责和相关要求。</w:t>
            </w:r>
          </w:p>
          <w:p>
            <w:pPr>
              <w:pStyle w:val="46"/>
              <w:numPr>
                <w:ilvl w:val="0"/>
                <w:numId w:val="0"/>
              </w:numPr>
              <w:tabs>
                <w:tab w:val="left" w:pos="949"/>
              </w:tabs>
              <w:spacing w:before="33" w:after="0" w:line="240" w:lineRule="auto"/>
              <w:ind w:left="587" w:leftChars="0" w:right="0" w:rightChars="0"/>
              <w:jc w:val="left"/>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 xml:space="preserve"> 销售部主要职责：</w:t>
            </w:r>
          </w:p>
          <w:p>
            <w:pPr>
              <w:pStyle w:val="46"/>
              <w:numPr>
                <w:ilvl w:val="0"/>
                <w:numId w:val="0"/>
              </w:numPr>
              <w:tabs>
                <w:tab w:val="left" w:pos="949"/>
              </w:tabs>
              <w:spacing w:before="33"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 xml:space="preserve"> 1、贯彻公司质量环境和职</w:t>
            </w:r>
            <w:r>
              <w:rPr>
                <w:rFonts w:ascii="宋体" w:hAnsi="宋体" w:eastAsia="宋体" w:cs="宋体"/>
                <w:spacing w:val="-7"/>
                <w:kern w:val="2"/>
                <w:sz w:val="24"/>
                <w:lang w:val="zh-CN" w:eastAsia="zh-CN" w:bidi="zh-CN"/>
              </w:rPr>
              <w:t>业健康安全方针，完成质量环境和职业健康安全目标，</w:t>
            </w:r>
          </w:p>
          <w:p>
            <w:pPr>
              <w:pStyle w:val="46"/>
              <w:numPr>
                <w:ilvl w:val="0"/>
                <w:numId w:val="0"/>
              </w:numPr>
              <w:tabs>
                <w:tab w:val="left" w:pos="949"/>
              </w:tabs>
              <w:spacing w:before="33"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2、</w:t>
            </w:r>
            <w:r>
              <w:rPr>
                <w:rFonts w:ascii="宋体" w:hAnsi="宋体" w:eastAsia="宋体" w:cs="宋体"/>
                <w:spacing w:val="-7"/>
                <w:kern w:val="2"/>
                <w:sz w:val="24"/>
                <w:lang w:val="zh-CN" w:eastAsia="zh-CN" w:bidi="zh-CN"/>
              </w:rPr>
              <w:t>全面识别顾客的需求，做好与生产部门的协调工作，确保顾客的需求得到落实、解决。</w:t>
            </w:r>
          </w:p>
          <w:p>
            <w:pPr>
              <w:pStyle w:val="46"/>
              <w:numPr>
                <w:ilvl w:val="0"/>
                <w:numId w:val="0"/>
              </w:numPr>
              <w:tabs>
                <w:tab w:val="left" w:pos="949"/>
              </w:tabs>
              <w:spacing w:before="33"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3、</w:t>
            </w:r>
            <w:r>
              <w:rPr>
                <w:rFonts w:ascii="宋体" w:hAnsi="宋体" w:eastAsia="宋体" w:cs="宋体"/>
                <w:spacing w:val="-7"/>
                <w:kern w:val="2"/>
                <w:sz w:val="24"/>
                <w:lang w:val="zh-CN" w:eastAsia="zh-CN" w:bidi="zh-CN"/>
              </w:rPr>
              <w:t>跟踪和反馈市场情况，对顾客的需求（包括要求、建议、意见、抱怨等）进行综合分析， 按不同情况及时报告（反馈）相关部门和总经理，并确保在适当的时间内向顾客作出答复。</w:t>
            </w:r>
          </w:p>
          <w:p>
            <w:pPr>
              <w:pStyle w:val="46"/>
              <w:numPr>
                <w:ilvl w:val="0"/>
                <w:numId w:val="0"/>
              </w:numPr>
              <w:tabs>
                <w:tab w:val="left" w:pos="949"/>
              </w:tabs>
              <w:spacing w:before="2" w:after="0" w:line="312" w:lineRule="auto"/>
              <w:ind w:left="588" w:leftChars="0" w:right="98"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4、</w:t>
            </w:r>
            <w:r>
              <w:rPr>
                <w:rFonts w:ascii="宋体" w:hAnsi="宋体" w:eastAsia="宋体" w:cs="宋体"/>
                <w:spacing w:val="-7"/>
                <w:kern w:val="2"/>
                <w:sz w:val="24"/>
                <w:lang w:val="zh-CN" w:eastAsia="zh-CN" w:bidi="zh-CN"/>
              </w:rPr>
              <w:t>配合生产部门做好顾客财产的管理；落实顾客交样和顾客确认的各项联系，详细地做好顾客留样和台帐管理。</w:t>
            </w:r>
          </w:p>
          <w:p>
            <w:pPr>
              <w:pStyle w:val="46"/>
              <w:numPr>
                <w:ilvl w:val="0"/>
                <w:numId w:val="0"/>
              </w:numPr>
              <w:tabs>
                <w:tab w:val="left" w:pos="949"/>
              </w:tabs>
              <w:spacing w:before="0" w:after="0" w:line="312" w:lineRule="auto"/>
              <w:ind w:left="588" w:leftChars="0" w:right="226"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5、</w:t>
            </w:r>
            <w:r>
              <w:rPr>
                <w:rFonts w:ascii="宋体" w:hAnsi="宋体" w:eastAsia="宋体" w:cs="宋体"/>
                <w:spacing w:val="-7"/>
                <w:kern w:val="2"/>
                <w:sz w:val="24"/>
                <w:lang w:val="zh-CN" w:eastAsia="zh-CN" w:bidi="zh-CN"/>
              </w:rPr>
              <w:t>根据销售市场的动态,综合分析国内市场对产品的需求情况,掌握产品销售中出现的热销品种和发展趋势,为公司确定产品开发方向提供市场依据。</w:t>
            </w:r>
          </w:p>
          <w:p>
            <w:pPr>
              <w:pStyle w:val="46"/>
              <w:numPr>
                <w:ilvl w:val="0"/>
                <w:numId w:val="0"/>
              </w:numPr>
              <w:tabs>
                <w:tab w:val="left" w:pos="949"/>
              </w:tabs>
              <w:spacing w:before="0" w:after="0" w:line="312" w:lineRule="auto"/>
              <w:ind w:left="588" w:leftChars="0" w:right="98"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6、</w:t>
            </w:r>
            <w:r>
              <w:rPr>
                <w:rFonts w:ascii="宋体" w:hAnsi="宋体" w:eastAsia="宋体" w:cs="宋体"/>
                <w:spacing w:val="-7"/>
                <w:kern w:val="2"/>
                <w:sz w:val="24"/>
                <w:lang w:val="zh-CN" w:eastAsia="zh-CN" w:bidi="zh-CN"/>
              </w:rPr>
              <w:t>提供开发依据，对提交的设计方案协助技术论证和市场论证，确保设计方案符合市场及顾客的需求。</w:t>
            </w:r>
          </w:p>
          <w:p>
            <w:pPr>
              <w:pStyle w:val="46"/>
              <w:numPr>
                <w:ilvl w:val="0"/>
                <w:numId w:val="0"/>
              </w:numPr>
              <w:tabs>
                <w:tab w:val="left" w:pos="949"/>
              </w:tabs>
              <w:spacing w:before="1" w:after="0" w:line="312" w:lineRule="auto"/>
              <w:ind w:left="588" w:leftChars="0" w:right="96"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7、</w:t>
            </w:r>
            <w:r>
              <w:rPr>
                <w:rFonts w:ascii="宋体" w:hAnsi="宋体" w:eastAsia="宋体" w:cs="宋体"/>
                <w:spacing w:val="-7"/>
                <w:kern w:val="2"/>
                <w:sz w:val="24"/>
                <w:lang w:val="zh-CN" w:eastAsia="zh-CN" w:bidi="zh-CN"/>
              </w:rPr>
              <w:t>及时收集来自顾客的质量信息，包括顾客投诉，并反馈给有关部门，组织对顾客信息的处理，及时将落实情况回复顾客，取得顾客满意；</w:t>
            </w:r>
          </w:p>
          <w:p>
            <w:pPr>
              <w:pStyle w:val="46"/>
              <w:numPr>
                <w:ilvl w:val="0"/>
                <w:numId w:val="0"/>
              </w:numPr>
              <w:tabs>
                <w:tab w:val="left" w:pos="949"/>
              </w:tabs>
              <w:spacing w:before="0"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8、</w:t>
            </w:r>
            <w:r>
              <w:rPr>
                <w:rFonts w:ascii="宋体" w:hAnsi="宋体" w:eastAsia="宋体" w:cs="宋体"/>
                <w:spacing w:val="-7"/>
                <w:kern w:val="2"/>
                <w:sz w:val="24"/>
                <w:lang w:val="zh-CN" w:eastAsia="zh-CN" w:bidi="zh-CN"/>
              </w:rPr>
              <w:t>按规定部署</w:t>
            </w:r>
            <w:r>
              <w:rPr>
                <w:rFonts w:hint="eastAsia" w:ascii="宋体" w:hAnsi="宋体" w:eastAsia="宋体" w:cs="宋体"/>
                <w:spacing w:val="-7"/>
                <w:kern w:val="2"/>
                <w:sz w:val="24"/>
                <w:lang w:val="zh-CN" w:eastAsia="zh-CN" w:bidi="zh-CN"/>
              </w:rPr>
              <w:t>销售部</w:t>
            </w:r>
            <w:r>
              <w:rPr>
                <w:rFonts w:ascii="宋体" w:hAnsi="宋体" w:eastAsia="宋体" w:cs="宋体"/>
                <w:spacing w:val="-7"/>
                <w:kern w:val="2"/>
                <w:sz w:val="24"/>
                <w:lang w:val="zh-CN" w:eastAsia="zh-CN" w:bidi="zh-CN"/>
              </w:rPr>
              <w:t>门的顾客满意度调查工作，并作好必要的顾客满意度分析报告。</w:t>
            </w:r>
          </w:p>
          <w:p>
            <w:pPr>
              <w:pStyle w:val="46"/>
              <w:numPr>
                <w:ilvl w:val="0"/>
                <w:numId w:val="0"/>
              </w:numPr>
              <w:tabs>
                <w:tab w:val="left" w:pos="949"/>
              </w:tabs>
              <w:spacing w:before="93"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9、</w:t>
            </w:r>
            <w:r>
              <w:rPr>
                <w:rFonts w:ascii="宋体" w:hAnsi="宋体" w:eastAsia="宋体" w:cs="宋体"/>
                <w:spacing w:val="-7"/>
                <w:kern w:val="2"/>
                <w:sz w:val="24"/>
                <w:lang w:val="zh-CN" w:eastAsia="zh-CN" w:bidi="zh-CN"/>
              </w:rPr>
              <w:t>负责本部门的环境因素识别，完成本部门目标、指标和环境管理方案的实施；</w:t>
            </w:r>
          </w:p>
          <w:p>
            <w:pPr>
              <w:pStyle w:val="46"/>
              <w:numPr>
                <w:ilvl w:val="0"/>
                <w:numId w:val="0"/>
              </w:numPr>
              <w:tabs>
                <w:tab w:val="left" w:pos="949"/>
              </w:tabs>
              <w:spacing w:before="91" w:after="0" w:line="312" w:lineRule="auto"/>
              <w:ind w:left="588" w:leftChars="0" w:right="98"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10、</w:t>
            </w:r>
            <w:r>
              <w:rPr>
                <w:rFonts w:ascii="宋体" w:hAnsi="宋体" w:eastAsia="宋体" w:cs="宋体"/>
                <w:spacing w:val="-7"/>
                <w:kern w:val="2"/>
                <w:sz w:val="24"/>
                <w:lang w:val="zh-CN" w:eastAsia="zh-CN" w:bidi="zh-CN"/>
              </w:rPr>
              <w:t>负责对本部门的危险源进行辨识、风险评价和控制措施的确定，提出职业健康安全管理方案并实施；</w:t>
            </w:r>
          </w:p>
          <w:p>
            <w:pPr>
              <w:pStyle w:val="46"/>
              <w:numPr>
                <w:ilvl w:val="0"/>
                <w:numId w:val="0"/>
              </w:numPr>
              <w:tabs>
                <w:tab w:val="left" w:pos="949"/>
              </w:tabs>
              <w:spacing w:before="2"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11、</w:t>
            </w:r>
            <w:r>
              <w:rPr>
                <w:rFonts w:ascii="宋体" w:hAnsi="宋体" w:eastAsia="宋体" w:cs="宋体"/>
                <w:spacing w:val="-7"/>
                <w:kern w:val="2"/>
                <w:sz w:val="24"/>
                <w:lang w:val="zh-CN" w:eastAsia="zh-CN" w:bidi="zh-CN"/>
              </w:rPr>
              <w:t>配合体系的内、外部审核，负责有关不符合项的整改工作；</w:t>
            </w:r>
          </w:p>
          <w:p>
            <w:pPr>
              <w:pStyle w:val="46"/>
              <w:numPr>
                <w:ilvl w:val="0"/>
                <w:numId w:val="0"/>
              </w:numPr>
              <w:tabs>
                <w:tab w:val="left" w:pos="949"/>
              </w:tabs>
              <w:spacing w:before="91"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12、</w:t>
            </w:r>
            <w:r>
              <w:rPr>
                <w:rFonts w:ascii="宋体" w:hAnsi="宋体" w:eastAsia="宋体" w:cs="宋体"/>
                <w:spacing w:val="-7"/>
                <w:kern w:val="2"/>
                <w:sz w:val="24"/>
                <w:lang w:val="zh-CN" w:eastAsia="zh-CN" w:bidi="zh-CN"/>
              </w:rPr>
              <w:t>做好归口文件和资料的存档、发放、更改管理工作，负责本部门的记录管理。</w:t>
            </w:r>
          </w:p>
          <w:p>
            <w:pPr>
              <w:pStyle w:val="46"/>
              <w:numPr>
                <w:ilvl w:val="0"/>
                <w:numId w:val="0"/>
              </w:numPr>
              <w:tabs>
                <w:tab w:val="left" w:pos="949"/>
              </w:tabs>
              <w:spacing w:before="94" w:after="0" w:line="240" w:lineRule="auto"/>
              <w:ind w:left="587" w:leftChars="0" w:right="0" w:rightChars="0"/>
              <w:jc w:val="left"/>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13、</w:t>
            </w:r>
            <w:r>
              <w:rPr>
                <w:rFonts w:ascii="宋体" w:hAnsi="宋体" w:eastAsia="宋体" w:cs="宋体"/>
                <w:spacing w:val="-7"/>
                <w:kern w:val="2"/>
                <w:sz w:val="24"/>
                <w:lang w:val="zh-CN" w:eastAsia="zh-CN" w:bidi="zh-CN"/>
              </w:rPr>
              <w:t>按规定对本部门的管理目标完成进行分析评价，改进和提高，确保年度目标达成。</w:t>
            </w:r>
          </w:p>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朱勇经理基本清楚自己的职责。</w:t>
            </w:r>
          </w:p>
        </w:tc>
        <w:tc>
          <w:tcPr>
            <w:tcW w:w="993" w:type="dxa"/>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目标及完成情况</w:t>
            </w:r>
          </w:p>
          <w:p>
            <w:pPr>
              <w:rPr>
                <w:rFonts w:ascii="宋体" w:hAnsi="宋体" w:eastAsia="宋体" w:cs="宋体"/>
                <w:spacing w:val="-7"/>
                <w:kern w:val="2"/>
                <w:sz w:val="24"/>
                <w:lang w:val="zh-CN" w:eastAsia="zh-CN" w:bidi="zh-CN"/>
              </w:rPr>
            </w:pPr>
          </w:p>
        </w:tc>
        <w:tc>
          <w:tcPr>
            <w:tcW w:w="960" w:type="dxa"/>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6.2</w:t>
            </w:r>
          </w:p>
        </w:tc>
        <w:tc>
          <w:tcPr>
            <w:tcW w:w="10596"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 xml:space="preserve"> 销售部质量目标及完成情况：</w:t>
            </w:r>
          </w:p>
          <w:p>
            <w:pPr>
              <w:pStyle w:val="2"/>
              <w:rPr>
                <w:rFonts w:ascii="宋体" w:hAnsi="宋体" w:eastAsia="宋体" w:cs="宋体"/>
                <w:spacing w:val="-7"/>
                <w:kern w:val="2"/>
                <w:sz w:val="24"/>
                <w:lang w:val="zh-CN" w:eastAsia="zh-CN" w:bidi="zh-CN"/>
              </w:rPr>
            </w:pPr>
            <w:r>
              <w:rPr>
                <w:rFonts w:ascii="宋体" w:hAnsi="宋体" w:eastAsia="宋体" w:cs="宋体"/>
                <w:spacing w:val="-7"/>
                <w:kern w:val="2"/>
                <w:sz w:val="24"/>
                <w:lang w:val="zh-CN" w:eastAsia="zh-CN" w:bidi="zh-CN"/>
              </w:rPr>
              <w:drawing>
                <wp:inline distT="0" distB="0" distL="114300" distR="114300">
                  <wp:extent cx="6583045" cy="609600"/>
                  <wp:effectExtent l="0" t="0" r="635" b="0"/>
                  <wp:docPr id="1" name="图片 1" descr="167799700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997004362"/>
                          <pic:cNvPicPr>
                            <a:picLocks noChangeAspect="1"/>
                          </pic:cNvPicPr>
                        </pic:nvPicPr>
                        <pic:blipFill>
                          <a:blip r:embed="rId6"/>
                          <a:stretch>
                            <a:fillRect/>
                          </a:stretch>
                        </pic:blipFill>
                        <pic:spPr>
                          <a:xfrm>
                            <a:off x="0" y="0"/>
                            <a:ext cx="6583045" cy="609600"/>
                          </a:xfrm>
                          <a:prstGeom prst="rect">
                            <a:avLst/>
                          </a:prstGeom>
                        </pic:spPr>
                      </pic:pic>
                    </a:graphicData>
                  </a:graphic>
                </wp:inline>
              </w:drawing>
            </w:r>
            <w:r>
              <w:rPr>
                <w:rFonts w:hint="eastAsia" w:ascii="宋体" w:hAnsi="宋体" w:eastAsia="宋体" w:cs="宋体"/>
                <w:spacing w:val="-7"/>
                <w:kern w:val="2"/>
                <w:sz w:val="24"/>
                <w:lang w:val="zh-CN" w:eastAsia="zh-CN" w:bidi="zh-CN"/>
              </w:rPr>
              <w:t>202</w:t>
            </w:r>
            <w:r>
              <w:rPr>
                <w:rFonts w:hint="eastAsia" w:ascii="宋体" w:hAnsi="宋体" w:eastAsia="宋体" w:cs="宋体"/>
                <w:spacing w:val="-7"/>
                <w:kern w:val="2"/>
                <w:sz w:val="24"/>
                <w:lang w:val="en-US" w:eastAsia="zh-CN" w:bidi="zh-CN"/>
              </w:rPr>
              <w:t>2</w:t>
            </w:r>
            <w:r>
              <w:rPr>
                <w:rFonts w:hint="eastAsia" w:ascii="宋体" w:hAnsi="宋体" w:eastAsia="宋体" w:cs="宋体"/>
                <w:spacing w:val="-7"/>
                <w:kern w:val="2"/>
                <w:sz w:val="24"/>
                <w:lang w:val="zh-CN" w:eastAsia="zh-CN" w:bidi="zh-CN"/>
              </w:rPr>
              <w:t>年</w:t>
            </w:r>
            <w:r>
              <w:rPr>
                <w:rFonts w:hint="eastAsia" w:ascii="宋体" w:hAnsi="宋体" w:eastAsia="宋体" w:cs="宋体"/>
                <w:spacing w:val="-7"/>
                <w:kern w:val="2"/>
                <w:sz w:val="24"/>
                <w:lang w:val="en-US" w:eastAsia="zh-CN" w:bidi="zh-CN"/>
              </w:rPr>
              <w:t>1--12</w:t>
            </w:r>
            <w:r>
              <w:rPr>
                <w:rFonts w:hint="eastAsia" w:ascii="宋体" w:hAnsi="宋体" w:eastAsia="宋体" w:cs="宋体"/>
                <w:spacing w:val="-7"/>
                <w:kern w:val="2"/>
                <w:sz w:val="24"/>
                <w:lang w:val="zh-CN" w:eastAsia="zh-CN" w:bidi="zh-CN"/>
              </w:rPr>
              <w:t xml:space="preserve">月结果显示本年度质量目标实现。                 </w:t>
            </w:r>
          </w:p>
        </w:tc>
        <w:tc>
          <w:tcPr>
            <w:tcW w:w="993" w:type="dxa"/>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顾客沟通</w:t>
            </w:r>
          </w:p>
        </w:tc>
        <w:tc>
          <w:tcPr>
            <w:tcW w:w="9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8.2.1</w:t>
            </w:r>
          </w:p>
        </w:tc>
        <w:tc>
          <w:tcPr>
            <w:tcW w:w="10596"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 xml:space="preserve"> </w:t>
            </w:r>
            <w:r>
              <w:rPr>
                <w:rFonts w:hint="eastAsia" w:ascii="宋体" w:hAnsi="宋体" w:eastAsia="宋体" w:cs="宋体"/>
                <w:spacing w:val="-7"/>
                <w:kern w:val="2"/>
                <w:sz w:val="24"/>
                <w:lang w:val="zh-CN" w:eastAsia="zh-CN" w:bidi="zh-CN"/>
              </w:rPr>
              <w:t>向顾客提供产品和服务信息，包括样品、产品性能、技术指标、广告宣传，提供产品和服务样本目录等；</w:t>
            </w:r>
          </w:p>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收集顾客对产品和服务要求的合同或订单信息，处理顾客意见，解答顾客的问询； 评审顾客产品和服务合同或订单的要求，做好合同更改时与顾客的沟通；</w:t>
            </w:r>
          </w:p>
          <w:p>
            <w:p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zh-CN" w:eastAsia="zh-CN" w:bidi="zh-CN"/>
              </w:rPr>
              <w:t>开展顾客满意度调查，包括顾客抱怨和投诉，未发生顾客投诉。</w:t>
            </w:r>
          </w:p>
        </w:tc>
        <w:tc>
          <w:tcPr>
            <w:tcW w:w="993"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产品和服务要求的确定</w:t>
            </w:r>
          </w:p>
        </w:tc>
        <w:tc>
          <w:tcPr>
            <w:tcW w:w="9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8.2.2</w:t>
            </w:r>
          </w:p>
        </w:tc>
        <w:tc>
          <w:tcPr>
            <w:tcW w:w="10596" w:type="dxa"/>
            <w:vAlign w:val="top"/>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公司主要产品</w:t>
            </w:r>
            <w:r>
              <w:rPr>
                <w:rFonts w:hint="eastAsia" w:ascii="宋体" w:hAnsi="宋体" w:eastAsia="宋体" w:cs="宋体"/>
                <w:spacing w:val="-7"/>
                <w:kern w:val="2"/>
                <w:sz w:val="24"/>
                <w:lang w:val="en-US" w:eastAsia="zh-CN" w:bidi="zh-CN"/>
              </w:rPr>
              <w:t>电梯</w:t>
            </w:r>
            <w:r>
              <w:rPr>
                <w:rFonts w:hint="eastAsia" w:ascii="宋体" w:hAnsi="宋体" w:eastAsia="宋体" w:cs="宋体"/>
                <w:spacing w:val="-7"/>
                <w:kern w:val="2"/>
                <w:sz w:val="24"/>
                <w:lang w:val="zh-CN" w:eastAsia="zh-CN" w:bidi="zh-CN"/>
              </w:rPr>
              <w:t>的研发、设计与制造。</w:t>
            </w:r>
          </w:p>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该公司产品按照国家标准、法律法规要求及顾客要求生产，与产品有关的要求主要体现在合同及相关法律法规中。</w:t>
            </w:r>
          </w:p>
          <w:p>
            <w:p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zh-CN" w:eastAsia="zh-CN" w:bidi="zh-CN"/>
              </w:rPr>
              <w:t>另外，该公司确定并收集了相关法律法规及标准文件，将其中的相关要求作为与产品有关要求的补充。</w:t>
            </w:r>
          </w:p>
        </w:tc>
        <w:tc>
          <w:tcPr>
            <w:tcW w:w="993"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pacing w:val="-7"/>
                <w:kern w:val="2"/>
                <w:sz w:val="24"/>
                <w:lang w:val="zh-CN" w:eastAsia="zh-CN" w:bidi="zh-CN"/>
              </w:rPr>
            </w:pPr>
            <w:r>
              <w:rPr>
                <w:rFonts w:ascii="宋体" w:hAnsi="宋体" w:eastAsia="宋体" w:cs="宋体"/>
                <w:spacing w:val="-7"/>
                <w:kern w:val="2"/>
                <w:sz w:val="24"/>
                <w:lang w:val="zh-CN" w:eastAsia="zh-CN" w:bidi="zh-CN"/>
              </w:rPr>
              <w:t>产品和服务要求的评审</w:t>
            </w:r>
          </w:p>
        </w:tc>
        <w:tc>
          <w:tcPr>
            <w:tcW w:w="9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8.2.3</w:t>
            </w:r>
          </w:p>
        </w:tc>
        <w:tc>
          <w:tcPr>
            <w:tcW w:w="10596" w:type="dxa"/>
            <w:vAlign w:val="top"/>
          </w:tcPr>
          <w:p>
            <w:pPr>
              <w:rPr>
                <w:rFonts w:hint="eastAsia" w:ascii="宋体" w:hAnsi="宋体" w:eastAsia="宋体" w:cs="宋体"/>
                <w:spacing w:val="-7"/>
                <w:kern w:val="2"/>
                <w:sz w:val="24"/>
                <w:lang w:val="zh-CN" w:eastAsia="zh-CN" w:bidi="zh-CN"/>
              </w:rPr>
            </w:pPr>
            <w:r>
              <w:rPr>
                <w:rFonts w:hint="eastAsia"/>
                <w:color w:val="000000"/>
                <w:lang w:val="en-US" w:eastAsia="zh-CN"/>
              </w:rPr>
              <w:t>公</w:t>
            </w:r>
            <w:r>
              <w:rPr>
                <w:rFonts w:hint="eastAsia" w:ascii="宋体" w:hAnsi="宋体" w:eastAsia="宋体" w:cs="宋体"/>
                <w:spacing w:val="-7"/>
                <w:kern w:val="2"/>
                <w:sz w:val="24"/>
                <w:lang w:val="en-US" w:eastAsia="zh-CN" w:bidi="zh-CN"/>
              </w:rPr>
              <w:t>司有《顾客沟通管理程序》有效文件。</w:t>
            </w:r>
          </w:p>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问询、合同订单的处理：</w:t>
            </w:r>
          </w:p>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主要采取电话或面谈的方式；顾客反馈：主要为顾客建立档案，定期电话、微信或登门进行回访。</w:t>
            </w:r>
          </w:p>
          <w:p>
            <w:p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zh-CN" w:eastAsia="zh-CN" w:bidi="zh-CN"/>
              </w:rPr>
              <w:t>查见《</w:t>
            </w:r>
            <w:r>
              <w:rPr>
                <w:rFonts w:hint="eastAsia" w:ascii="宋体" w:hAnsi="宋体" w:eastAsia="宋体" w:cs="宋体"/>
                <w:spacing w:val="-7"/>
                <w:kern w:val="2"/>
                <w:sz w:val="24"/>
                <w:lang w:val="en-US" w:eastAsia="zh-CN" w:bidi="zh-CN"/>
              </w:rPr>
              <w:t>合同评审表</w:t>
            </w:r>
            <w:r>
              <w:rPr>
                <w:rFonts w:hint="eastAsia" w:ascii="宋体" w:hAnsi="宋体" w:eastAsia="宋体" w:cs="宋体"/>
                <w:spacing w:val="-7"/>
                <w:kern w:val="2"/>
                <w:sz w:val="24"/>
                <w:lang w:val="zh-CN" w:eastAsia="zh-CN" w:bidi="zh-CN"/>
              </w:rPr>
              <w:t>》，</w:t>
            </w:r>
            <w:r>
              <w:rPr>
                <w:rFonts w:hint="eastAsia" w:ascii="宋体" w:hAnsi="宋体" w:eastAsia="宋体" w:cs="宋体"/>
                <w:spacing w:val="-7"/>
                <w:kern w:val="2"/>
                <w:sz w:val="24"/>
                <w:lang w:val="en-US" w:eastAsia="zh-CN" w:bidi="zh-CN"/>
              </w:rPr>
              <w:t xml:space="preserve">2022.2-8月 </w:t>
            </w:r>
          </w:p>
          <w:p>
            <w:pPr>
              <w:pStyle w:val="2"/>
              <w:rPr>
                <w:rFonts w:hint="eastAsia"/>
                <w:lang w:val="zh-CN" w:eastAsia="zh-CN"/>
              </w:rPr>
            </w:pPr>
            <w:r>
              <w:rPr>
                <w:rFonts w:hint="eastAsia"/>
                <w:lang w:val="zh-CN" w:eastAsia="zh-CN"/>
              </w:rPr>
              <w:t>合同条款是否符合有关法律法规          符合法律法规</w:t>
            </w:r>
          </w:p>
          <w:p>
            <w:pPr>
              <w:pStyle w:val="2"/>
              <w:rPr>
                <w:rFonts w:hint="eastAsia"/>
                <w:lang w:val="zh-CN" w:eastAsia="zh-CN"/>
              </w:rPr>
            </w:pPr>
            <w:r>
              <w:rPr>
                <w:rFonts w:hint="eastAsia"/>
                <w:lang w:val="zh-CN" w:eastAsia="zh-CN"/>
              </w:rPr>
              <w:t>履行合同时企业的利益和风险如何        无风险</w:t>
            </w:r>
          </w:p>
          <w:p>
            <w:pPr>
              <w:pStyle w:val="2"/>
              <w:rPr>
                <w:rFonts w:hint="eastAsia"/>
                <w:lang w:val="zh-CN" w:eastAsia="zh-CN"/>
              </w:rPr>
            </w:pPr>
            <w:r>
              <w:rPr>
                <w:rFonts w:hint="eastAsia"/>
                <w:lang w:val="zh-CN" w:eastAsia="zh-CN"/>
              </w:rPr>
              <w:t>合同条款是否有含糊不清之处            无</w:t>
            </w:r>
          </w:p>
          <w:p>
            <w:pPr>
              <w:pStyle w:val="2"/>
              <w:rPr>
                <w:rFonts w:hint="eastAsia"/>
                <w:lang w:val="zh-CN" w:eastAsia="zh-CN"/>
              </w:rPr>
            </w:pPr>
            <w:r>
              <w:rPr>
                <w:rFonts w:hint="eastAsia"/>
                <w:lang w:val="zh-CN" w:eastAsia="zh-CN"/>
              </w:rPr>
              <w:t>技术、供应等能否满足需要        能满足需求</w:t>
            </w:r>
          </w:p>
          <w:p>
            <w:pPr>
              <w:pStyle w:val="2"/>
              <w:rPr>
                <w:rFonts w:hint="eastAsia"/>
                <w:lang w:val="zh-CN" w:eastAsia="zh-CN"/>
              </w:rPr>
            </w:pPr>
            <w:r>
              <w:rPr>
                <w:rFonts w:hint="eastAsia"/>
                <w:lang w:val="zh-CN" w:eastAsia="zh-CN"/>
              </w:rPr>
              <w:t>有无特殊要求                          无</w:t>
            </w:r>
          </w:p>
          <w:p>
            <w:pPr>
              <w:pStyle w:val="2"/>
              <w:rPr>
                <w:rFonts w:hint="default"/>
                <w:lang w:val="en-US" w:eastAsia="zh-CN"/>
              </w:rPr>
            </w:pPr>
            <w:r>
              <w:rPr>
                <w:rFonts w:hint="eastAsia"/>
                <w:lang w:val="zh-CN" w:eastAsia="zh-CN"/>
              </w:rPr>
              <w:t>交货期限能否满足                      能</w:t>
            </w:r>
          </w:p>
          <w:p>
            <w:pPr>
              <w:pStyle w:val="2"/>
              <w:rPr>
                <w:rFonts w:hint="eastAsia"/>
                <w:lang w:val="zh-CN" w:eastAsia="zh-CN"/>
              </w:rPr>
            </w:pPr>
            <w:r>
              <w:rPr>
                <w:rFonts w:hint="eastAsia"/>
                <w:lang w:val="zh-CN" w:eastAsia="zh-CN"/>
              </w:rPr>
              <w:t>交货方式是否合适                      合适</w:t>
            </w:r>
          </w:p>
          <w:p>
            <w:pPr>
              <w:pStyle w:val="2"/>
              <w:rPr>
                <w:rFonts w:hint="eastAsia"/>
                <w:lang w:val="zh-CN" w:eastAsia="zh-CN"/>
              </w:rPr>
            </w:pPr>
            <w:r>
              <w:rPr>
                <w:rFonts w:hint="eastAsia"/>
                <w:lang w:val="zh-CN" w:eastAsia="zh-CN"/>
              </w:rPr>
              <w:t>价格是否合理                          合理</w:t>
            </w:r>
          </w:p>
          <w:p>
            <w:pPr>
              <w:pStyle w:val="2"/>
              <w:rPr>
                <w:rFonts w:hint="eastAsia"/>
                <w:lang w:val="zh-CN" w:eastAsia="zh-CN"/>
              </w:rPr>
            </w:pPr>
            <w:r>
              <w:rPr>
                <w:rFonts w:hint="eastAsia"/>
                <w:lang w:val="zh-CN" w:eastAsia="zh-CN"/>
              </w:rPr>
              <w:t>付款期限是否适当                      适当</w:t>
            </w:r>
          </w:p>
          <w:p>
            <w:pPr>
              <w:pStyle w:val="2"/>
              <w:rPr>
                <w:rFonts w:hint="eastAsia"/>
                <w:lang w:val="zh-CN" w:eastAsia="zh-CN"/>
              </w:rPr>
            </w:pPr>
            <w:r>
              <w:rPr>
                <w:rFonts w:hint="eastAsia"/>
                <w:lang w:val="zh-CN" w:eastAsia="zh-CN"/>
              </w:rPr>
              <w:t>有无质量保证要求                      有</w:t>
            </w:r>
          </w:p>
          <w:p>
            <w:pPr>
              <w:pStyle w:val="2"/>
              <w:rPr>
                <w:rFonts w:hint="eastAsia"/>
                <w:lang w:val="zh-CN" w:eastAsia="zh-CN"/>
              </w:rPr>
            </w:pPr>
            <w:r>
              <w:rPr>
                <w:rFonts w:hint="eastAsia"/>
                <w:lang w:val="zh-CN" w:eastAsia="zh-CN"/>
              </w:rPr>
              <w:t xml:space="preserve">供应物资：  </w:t>
            </w:r>
            <w:r>
              <w:rPr>
                <w:rFonts w:hint="eastAsia"/>
                <w:lang w:val="en-US" w:eastAsia="zh-CN"/>
              </w:rPr>
              <w:t xml:space="preserve">                  </w:t>
            </w:r>
            <w:r>
              <w:rPr>
                <w:rFonts w:hint="eastAsia"/>
                <w:lang w:val="zh-CN" w:eastAsia="zh-CN"/>
              </w:rPr>
              <w:t xml:space="preserve">小机房电梯T1 、小机房无障碍电梯T2  </w:t>
            </w:r>
          </w:p>
          <w:p>
            <w:pPr>
              <w:pStyle w:val="2"/>
              <w:rPr>
                <w:rFonts w:hint="eastAsia"/>
                <w:lang w:val="zh-CN" w:eastAsia="zh-CN"/>
              </w:rPr>
            </w:pPr>
            <w:r>
              <w:rPr>
                <w:rFonts w:hint="eastAsia"/>
                <w:lang w:val="en-US" w:eastAsia="zh-CN"/>
              </w:rPr>
              <w:t>有部门会签、评审意见、评审结论。</w:t>
            </w:r>
            <w:r>
              <w:rPr>
                <w:rFonts w:hint="eastAsia"/>
                <w:lang w:val="zh-CN" w:eastAsia="zh-CN"/>
              </w:rPr>
              <w:t xml:space="preserve">          </w:t>
            </w:r>
          </w:p>
          <w:p>
            <w:p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 xml:space="preserve"> 抽查销售合同：</w:t>
            </w:r>
          </w:p>
          <w:p>
            <w:pPr>
              <w:numPr>
                <w:ilvl w:val="0"/>
                <w:numId w:val="1"/>
              </w:num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电梯设备定做合同 ：安徽沃尔顶密封工业股份有限公司 合同编号：YSK-2022K015,  2022.10.8</w:t>
            </w:r>
          </w:p>
          <w:p>
            <w:pPr>
              <w:numPr>
                <w:ilvl w:val="0"/>
                <w:numId w:val="1"/>
              </w:num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电梯设备定做合同 ：蚌埠金鹰建材科技有限公司        合同编号：YSK-2022K013,  2022.8.23</w:t>
            </w:r>
          </w:p>
          <w:p>
            <w:pPr>
              <w:numPr>
                <w:ilvl w:val="0"/>
                <w:numId w:val="1"/>
              </w:num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电梯设备定做合同 ：安徽华翔电梯销售有限公司        合同编号：YSK-2022K012,  2022.8.25</w:t>
            </w:r>
          </w:p>
          <w:p>
            <w:pPr>
              <w:numPr>
                <w:ilvl w:val="0"/>
                <w:numId w:val="1"/>
              </w:num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电梯设备定做合同 ：凤阳硅谷智能有限公司             合同编号：YSK-2022K010,  2022.6.2</w:t>
            </w:r>
          </w:p>
          <w:p>
            <w:pPr>
              <w:numPr>
                <w:ilvl w:val="0"/>
                <w:numId w:val="1"/>
              </w:num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电梯设备定做合同 ：</w:t>
            </w:r>
            <w:r>
              <w:rPr>
                <w:rFonts w:hint="eastAsia" w:ascii="宋体" w:hAnsi="宋体" w:cs="宋体"/>
                <w:spacing w:val="-7"/>
                <w:kern w:val="2"/>
                <w:sz w:val="24"/>
                <w:lang w:val="en-US" w:eastAsia="zh-CN" w:bidi="zh-CN"/>
              </w:rPr>
              <w:t>安徽金鑫诺金属制品有限公司</w:t>
            </w:r>
            <w:r>
              <w:rPr>
                <w:rFonts w:hint="eastAsia" w:ascii="宋体" w:hAnsi="宋体" w:eastAsia="宋体" w:cs="宋体"/>
                <w:spacing w:val="-7"/>
                <w:kern w:val="2"/>
                <w:sz w:val="24"/>
                <w:lang w:val="en-US" w:eastAsia="zh-CN" w:bidi="zh-CN"/>
              </w:rPr>
              <w:t xml:space="preserve">      合同编号：YSK-202</w:t>
            </w:r>
            <w:r>
              <w:rPr>
                <w:rFonts w:hint="eastAsia" w:ascii="宋体" w:hAnsi="宋体" w:cs="宋体"/>
                <w:spacing w:val="-7"/>
                <w:kern w:val="2"/>
                <w:sz w:val="24"/>
                <w:lang w:val="en-US" w:eastAsia="zh-CN" w:bidi="zh-CN"/>
              </w:rPr>
              <w:t>3W001</w:t>
            </w:r>
            <w:r>
              <w:rPr>
                <w:rFonts w:hint="eastAsia" w:ascii="宋体" w:hAnsi="宋体" w:eastAsia="宋体" w:cs="宋体"/>
                <w:spacing w:val="-7"/>
                <w:kern w:val="2"/>
                <w:sz w:val="24"/>
                <w:lang w:val="en-US" w:eastAsia="zh-CN" w:bidi="zh-CN"/>
              </w:rPr>
              <w:t xml:space="preserve">  </w:t>
            </w:r>
            <w:r>
              <w:rPr>
                <w:rFonts w:hint="eastAsia" w:ascii="宋体" w:hAnsi="宋体" w:cs="宋体"/>
                <w:spacing w:val="-7"/>
                <w:kern w:val="2"/>
                <w:sz w:val="24"/>
                <w:lang w:val="en-US" w:eastAsia="zh-CN" w:bidi="zh-CN"/>
              </w:rPr>
              <w:t xml:space="preserve">  </w:t>
            </w:r>
            <w:r>
              <w:rPr>
                <w:rFonts w:hint="eastAsia" w:ascii="宋体" w:hAnsi="宋体" w:eastAsia="宋体" w:cs="宋体"/>
                <w:spacing w:val="-7"/>
                <w:kern w:val="2"/>
                <w:sz w:val="24"/>
                <w:lang w:val="en-US" w:eastAsia="zh-CN" w:bidi="zh-CN"/>
              </w:rPr>
              <w:t>202</w:t>
            </w:r>
            <w:r>
              <w:rPr>
                <w:rFonts w:hint="eastAsia" w:ascii="宋体" w:hAnsi="宋体" w:cs="宋体"/>
                <w:spacing w:val="-7"/>
                <w:kern w:val="2"/>
                <w:sz w:val="24"/>
                <w:lang w:val="en-US" w:eastAsia="zh-CN" w:bidi="zh-CN"/>
              </w:rPr>
              <w:t>3.1</w:t>
            </w:r>
          </w:p>
          <w:p>
            <w:pPr>
              <w:numPr>
                <w:ilvl w:val="0"/>
                <w:numId w:val="1"/>
              </w:num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电梯设备定做合同 ：凤阳硅谷智能有限公司             合同编号：YSK-202</w:t>
            </w:r>
            <w:r>
              <w:rPr>
                <w:rFonts w:hint="eastAsia" w:ascii="宋体" w:hAnsi="宋体" w:cs="宋体"/>
                <w:spacing w:val="-7"/>
                <w:kern w:val="2"/>
                <w:sz w:val="24"/>
                <w:lang w:val="en-US" w:eastAsia="zh-CN" w:bidi="zh-CN"/>
              </w:rPr>
              <w:t>3B001</w:t>
            </w:r>
            <w:r>
              <w:rPr>
                <w:rFonts w:hint="eastAsia" w:ascii="宋体" w:hAnsi="宋体" w:eastAsia="宋体" w:cs="宋体"/>
                <w:spacing w:val="-7"/>
                <w:kern w:val="2"/>
                <w:sz w:val="24"/>
                <w:lang w:val="en-US" w:eastAsia="zh-CN" w:bidi="zh-CN"/>
              </w:rPr>
              <w:t xml:space="preserve">  </w:t>
            </w:r>
            <w:r>
              <w:rPr>
                <w:rFonts w:hint="eastAsia" w:ascii="宋体" w:hAnsi="宋体" w:cs="宋体"/>
                <w:spacing w:val="-7"/>
                <w:kern w:val="2"/>
                <w:sz w:val="24"/>
                <w:lang w:val="en-US" w:eastAsia="zh-CN" w:bidi="zh-CN"/>
              </w:rPr>
              <w:t xml:space="preserve"> 2023.1</w:t>
            </w:r>
          </w:p>
          <w:p>
            <w:pPr>
              <w:numPr>
                <w:ilvl w:val="0"/>
                <w:numId w:val="1"/>
              </w:numPr>
              <w:rPr>
                <w:rFonts w:hint="default"/>
                <w:lang w:val="en-US" w:eastAsia="zh-CN"/>
              </w:rPr>
            </w:pPr>
            <w:r>
              <w:rPr>
                <w:rFonts w:hint="eastAsia" w:ascii="宋体" w:hAnsi="宋体" w:eastAsia="宋体" w:cs="宋体"/>
                <w:spacing w:val="-7"/>
                <w:kern w:val="2"/>
                <w:sz w:val="24"/>
                <w:lang w:val="en-US" w:eastAsia="zh-CN" w:bidi="zh-CN"/>
              </w:rPr>
              <w:t>电梯设备定做合同 ：凤阳硅谷智能有限公司             合同编号：YSK-2022</w:t>
            </w:r>
            <w:r>
              <w:rPr>
                <w:rFonts w:hint="eastAsia" w:ascii="宋体" w:hAnsi="宋体" w:cs="宋体"/>
                <w:spacing w:val="-7"/>
                <w:kern w:val="2"/>
                <w:sz w:val="24"/>
                <w:lang w:val="en-US" w:eastAsia="zh-CN" w:bidi="zh-CN"/>
              </w:rPr>
              <w:t>G001</w:t>
            </w:r>
            <w:r>
              <w:rPr>
                <w:rFonts w:hint="eastAsia" w:ascii="宋体" w:hAnsi="宋体" w:eastAsia="宋体" w:cs="宋体"/>
                <w:spacing w:val="-7"/>
                <w:kern w:val="2"/>
                <w:sz w:val="24"/>
                <w:lang w:val="en-US" w:eastAsia="zh-CN" w:bidi="zh-CN"/>
              </w:rPr>
              <w:t xml:space="preserve">,  </w:t>
            </w:r>
            <w:r>
              <w:rPr>
                <w:rFonts w:hint="eastAsia" w:ascii="宋体" w:hAnsi="宋体" w:cs="宋体"/>
                <w:spacing w:val="-7"/>
                <w:kern w:val="2"/>
                <w:sz w:val="24"/>
                <w:lang w:val="en-US" w:eastAsia="zh-CN" w:bidi="zh-CN"/>
              </w:rPr>
              <w:t>2023.1</w:t>
            </w:r>
            <w:bookmarkStart w:id="0" w:name="_GoBack"/>
            <w:bookmarkEnd w:id="0"/>
          </w:p>
          <w:p>
            <w:pPr>
              <w:rPr>
                <w:rFonts w:hint="eastAsia"/>
                <w:color w:val="000000"/>
                <w:szCs w:val="22"/>
                <w:lang w:val="en-US" w:eastAsia="zh-CN"/>
              </w:rPr>
            </w:pPr>
            <w:r>
              <w:rPr>
                <w:rFonts w:hint="eastAsia"/>
                <w:color w:val="000000"/>
                <w:lang w:val="en-US" w:eastAsia="zh-CN"/>
              </w:rPr>
              <w:t>有合同或协议评审记录、综合经营部新承接项目转交单、 招标文件审核表，招标公告审核表，采购人满意度反馈。</w:t>
            </w:r>
          </w:p>
          <w:p>
            <w:pPr>
              <w:rPr>
                <w:rFonts w:hint="eastAsia"/>
                <w:color w:val="000000"/>
                <w:szCs w:val="22"/>
                <w:lang w:val="en-US" w:eastAsia="zh-CN"/>
              </w:rPr>
            </w:pPr>
            <w:r>
              <w:rPr>
                <w:rFonts w:hint="eastAsia"/>
                <w:color w:val="000000"/>
                <w:szCs w:val="22"/>
                <w:lang w:val="en-US" w:eastAsia="zh-CN"/>
              </w:rPr>
              <w:t>无合同变更 。</w:t>
            </w:r>
          </w:p>
          <w:p>
            <w:pPr>
              <w:rPr>
                <w:rFonts w:hint="eastAsia"/>
                <w:color w:val="000000"/>
                <w:szCs w:val="22"/>
                <w:lang w:val="en-US" w:eastAsia="zh-CN"/>
              </w:rPr>
            </w:pPr>
          </w:p>
          <w:p>
            <w:pPr>
              <w:tabs>
                <w:tab w:val="left" w:pos="5847"/>
                <w:tab w:val="left" w:pos="8065"/>
              </w:tabs>
              <w:rPr>
                <w:rFonts w:hint="eastAsia"/>
                <w:color w:val="000000"/>
                <w:szCs w:val="22"/>
                <w:lang w:val="en-US" w:eastAsia="zh-CN"/>
              </w:rPr>
            </w:pPr>
            <w:r>
              <w:rPr>
                <w:rFonts w:hint="eastAsia"/>
                <w:color w:val="000000"/>
                <w:szCs w:val="22"/>
                <w:lang w:val="en-US" w:eastAsia="zh-CN"/>
              </w:rPr>
              <w:drawing>
                <wp:anchor distT="0" distB="0" distL="114300" distR="114300" simplePos="0" relativeHeight="251661312" behindDoc="0" locked="0" layoutInCell="1" allowOverlap="1">
                  <wp:simplePos x="0" y="0"/>
                  <wp:positionH relativeFrom="column">
                    <wp:posOffset>5113655</wp:posOffset>
                  </wp:positionH>
                  <wp:positionV relativeFrom="paragraph">
                    <wp:posOffset>224790</wp:posOffset>
                  </wp:positionV>
                  <wp:extent cx="1356995" cy="1697355"/>
                  <wp:effectExtent l="0" t="0" r="14605" b="9525"/>
                  <wp:wrapNone/>
                  <wp:docPr id="5" name="图片 5" descr="167800070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8000706748"/>
                          <pic:cNvPicPr>
                            <a:picLocks noChangeAspect="1"/>
                          </pic:cNvPicPr>
                        </pic:nvPicPr>
                        <pic:blipFill>
                          <a:blip r:embed="rId7"/>
                          <a:stretch>
                            <a:fillRect/>
                          </a:stretch>
                        </pic:blipFill>
                        <pic:spPr>
                          <a:xfrm>
                            <a:off x="0" y="0"/>
                            <a:ext cx="1356995" cy="1697355"/>
                          </a:xfrm>
                          <a:prstGeom prst="rect">
                            <a:avLst/>
                          </a:prstGeom>
                        </pic:spPr>
                      </pic:pic>
                    </a:graphicData>
                  </a:graphic>
                </wp:anchor>
              </w:drawing>
            </w:r>
            <w:r>
              <w:rPr>
                <w:rFonts w:hint="eastAsia"/>
                <w:color w:val="000000"/>
                <w:szCs w:val="22"/>
                <w:lang w:val="en-US" w:eastAsia="zh-CN"/>
              </w:rPr>
              <w:drawing>
                <wp:anchor distT="0" distB="0" distL="114300" distR="114300" simplePos="0" relativeHeight="251660288" behindDoc="0" locked="0" layoutInCell="1" allowOverlap="1">
                  <wp:simplePos x="0" y="0"/>
                  <wp:positionH relativeFrom="column">
                    <wp:posOffset>3575685</wp:posOffset>
                  </wp:positionH>
                  <wp:positionV relativeFrom="paragraph">
                    <wp:posOffset>384175</wp:posOffset>
                  </wp:positionV>
                  <wp:extent cx="1330960" cy="1859280"/>
                  <wp:effectExtent l="0" t="0" r="10160" b="0"/>
                  <wp:wrapNone/>
                  <wp:docPr id="4" name="图片 4" descr="167800064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8000648568"/>
                          <pic:cNvPicPr>
                            <a:picLocks noChangeAspect="1"/>
                          </pic:cNvPicPr>
                        </pic:nvPicPr>
                        <pic:blipFill>
                          <a:blip r:embed="rId8"/>
                          <a:stretch>
                            <a:fillRect/>
                          </a:stretch>
                        </pic:blipFill>
                        <pic:spPr>
                          <a:xfrm>
                            <a:off x="0" y="0"/>
                            <a:ext cx="1330960" cy="1859280"/>
                          </a:xfrm>
                          <a:prstGeom prst="rect">
                            <a:avLst/>
                          </a:prstGeom>
                        </pic:spPr>
                      </pic:pic>
                    </a:graphicData>
                  </a:graphic>
                </wp:anchor>
              </w:drawing>
            </w:r>
            <w:r>
              <w:rPr>
                <w:rFonts w:hint="eastAsia"/>
                <w:color w:val="000000"/>
                <w:szCs w:val="22"/>
                <w:lang w:val="en-US" w:eastAsia="zh-CN"/>
              </w:rPr>
              <w:drawing>
                <wp:anchor distT="0" distB="0" distL="114300" distR="114300" simplePos="0" relativeHeight="251659264" behindDoc="0" locked="0" layoutInCell="1" allowOverlap="1">
                  <wp:simplePos x="0" y="0"/>
                  <wp:positionH relativeFrom="column">
                    <wp:posOffset>1896110</wp:posOffset>
                  </wp:positionH>
                  <wp:positionV relativeFrom="paragraph">
                    <wp:posOffset>142875</wp:posOffset>
                  </wp:positionV>
                  <wp:extent cx="1540510" cy="1946275"/>
                  <wp:effectExtent l="0" t="0" r="13970" b="4445"/>
                  <wp:wrapNone/>
                  <wp:docPr id="3" name="图片 3" descr="167800057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8000574863"/>
                          <pic:cNvPicPr>
                            <a:picLocks noChangeAspect="1"/>
                          </pic:cNvPicPr>
                        </pic:nvPicPr>
                        <pic:blipFill>
                          <a:blip r:embed="rId9"/>
                          <a:stretch>
                            <a:fillRect/>
                          </a:stretch>
                        </pic:blipFill>
                        <pic:spPr>
                          <a:xfrm>
                            <a:off x="0" y="0"/>
                            <a:ext cx="1540510" cy="1946275"/>
                          </a:xfrm>
                          <a:prstGeom prst="rect">
                            <a:avLst/>
                          </a:prstGeom>
                        </pic:spPr>
                      </pic:pic>
                    </a:graphicData>
                  </a:graphic>
                </wp:anchor>
              </w:drawing>
            </w:r>
            <w:r>
              <w:rPr>
                <w:rFonts w:hint="eastAsia"/>
                <w:color w:val="000000"/>
                <w:szCs w:val="22"/>
                <w:lang w:val="en-US" w:eastAsia="zh-CN"/>
              </w:rPr>
              <w:drawing>
                <wp:inline distT="0" distB="0" distL="114300" distR="114300">
                  <wp:extent cx="1579245" cy="2226310"/>
                  <wp:effectExtent l="0" t="0" r="5715" b="13970"/>
                  <wp:docPr id="2" name="图片 2" descr="167800050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8000507157"/>
                          <pic:cNvPicPr>
                            <a:picLocks noChangeAspect="1"/>
                          </pic:cNvPicPr>
                        </pic:nvPicPr>
                        <pic:blipFill>
                          <a:blip r:embed="rId10"/>
                          <a:stretch>
                            <a:fillRect/>
                          </a:stretch>
                        </pic:blipFill>
                        <pic:spPr>
                          <a:xfrm>
                            <a:off x="0" y="0"/>
                            <a:ext cx="1579245" cy="2226310"/>
                          </a:xfrm>
                          <a:prstGeom prst="rect">
                            <a:avLst/>
                          </a:prstGeom>
                        </pic:spPr>
                      </pic:pic>
                    </a:graphicData>
                  </a:graphic>
                </wp:inline>
              </w:drawing>
            </w:r>
          </w:p>
          <w:p>
            <w:pPr>
              <w:rPr>
                <w:rFonts w:hint="eastAsia" w:ascii="宋体" w:hAnsi="宋体" w:eastAsia="宋体" w:cs="宋体"/>
                <w:spacing w:val="-7"/>
                <w:kern w:val="2"/>
                <w:sz w:val="24"/>
                <w:lang w:val="en-US" w:eastAsia="zh-CN" w:bidi="zh-CN"/>
              </w:rPr>
            </w:pPr>
            <w:r>
              <w:rPr>
                <w:rFonts w:hint="eastAsia"/>
                <w:color w:val="000000"/>
                <w:szCs w:val="22"/>
                <w:lang w:val="en-US" w:eastAsia="zh-CN"/>
              </w:rPr>
              <w:t>基本符合要求</w:t>
            </w:r>
          </w:p>
        </w:tc>
        <w:tc>
          <w:tcPr>
            <w:tcW w:w="993"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rPr>
                <w:rFonts w:hint="eastAsia" w:ascii="宋体" w:hAnsi="宋体" w:eastAsia="宋体" w:cs="宋体"/>
                <w:spacing w:val="-7"/>
                <w:kern w:val="2"/>
                <w:sz w:val="24"/>
                <w:lang w:val="zh-CN" w:eastAsia="zh-CN" w:bidi="zh-CN"/>
              </w:rPr>
            </w:pPr>
            <w:r>
              <w:rPr>
                <w:rFonts w:ascii="宋体" w:hAnsi="宋体" w:eastAsia="宋体" w:cs="宋体"/>
                <w:spacing w:val="-7"/>
                <w:kern w:val="2"/>
                <w:sz w:val="24"/>
                <w:lang w:val="zh-CN" w:eastAsia="zh-CN" w:bidi="zh-CN"/>
              </w:rPr>
              <w:t>产品和服务要求的更改</w:t>
            </w:r>
          </w:p>
        </w:tc>
        <w:tc>
          <w:tcPr>
            <w:tcW w:w="9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8.2.4</w:t>
            </w:r>
          </w:p>
        </w:tc>
        <w:tc>
          <w:tcPr>
            <w:tcW w:w="10596" w:type="dxa"/>
            <w:vAlign w:val="top"/>
          </w:tcPr>
          <w:p>
            <w:pPr>
              <w:rPr>
                <w:rFonts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 xml:space="preserve"> </w:t>
            </w:r>
            <w:r>
              <w:rPr>
                <w:rFonts w:hint="eastAsia" w:ascii="宋体" w:hAnsi="宋体" w:eastAsia="宋体" w:cs="宋体"/>
                <w:spacing w:val="-7"/>
                <w:kern w:val="2"/>
                <w:sz w:val="24"/>
                <w:lang w:val="zh-CN" w:eastAsia="zh-CN" w:bidi="zh-CN"/>
              </w:rPr>
              <w:t>未发生合同变更及顾客要求发生变更造成与先前合同或订单要求表述存在差异的情况。</w:t>
            </w:r>
          </w:p>
          <w:p>
            <w:pPr>
              <w:rPr>
                <w:rFonts w:hint="eastAsia" w:ascii="宋体" w:hAnsi="宋体" w:eastAsia="宋体" w:cs="宋体"/>
                <w:spacing w:val="-7"/>
                <w:kern w:val="2"/>
                <w:sz w:val="24"/>
                <w:lang w:val="en-US" w:eastAsia="zh-CN" w:bidi="zh-CN"/>
              </w:rPr>
            </w:pPr>
          </w:p>
        </w:tc>
        <w:tc>
          <w:tcPr>
            <w:tcW w:w="993"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顾客或外部供方的财产</w:t>
            </w:r>
          </w:p>
        </w:tc>
        <w:tc>
          <w:tcPr>
            <w:tcW w:w="9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8.5.3</w:t>
            </w:r>
          </w:p>
        </w:tc>
        <w:tc>
          <w:tcPr>
            <w:tcW w:w="10596" w:type="dxa"/>
            <w:vAlign w:val="top"/>
          </w:tcPr>
          <w:p>
            <w:pPr>
              <w:pStyle w:val="46"/>
              <w:numPr>
                <w:ilvl w:val="0"/>
                <w:numId w:val="0"/>
              </w:numPr>
              <w:tabs>
                <w:tab w:val="left" w:pos="1429"/>
              </w:tabs>
              <w:spacing w:before="100" w:after="0" w:line="364" w:lineRule="auto"/>
              <w:ind w:right="57" w:rightChars="0"/>
              <w:jc w:val="left"/>
              <w:rPr>
                <w:sz w:val="24"/>
              </w:rPr>
            </w:pPr>
            <w:r>
              <w:rPr>
                <w:rFonts w:hint="eastAsia" w:ascii="宋体" w:hAnsi="宋体" w:eastAsia="宋体" w:cs="宋体"/>
                <w:spacing w:val="-7"/>
                <w:kern w:val="2"/>
                <w:sz w:val="24"/>
                <w:lang w:val="zh-CN" w:eastAsia="zh-CN" w:bidi="zh-CN"/>
              </w:rPr>
              <w:t>公司管理手册中规定</w:t>
            </w:r>
            <w:r>
              <w:rPr>
                <w:spacing w:val="-5"/>
                <w:sz w:val="24"/>
              </w:rPr>
              <w:t>顾客或外部供方的财产可能包括材料、零部件、工具和设备，顾客的场所，知识产</w:t>
            </w:r>
            <w:r>
              <w:rPr>
                <w:sz w:val="24"/>
              </w:rPr>
              <w:t>权和个人信息。</w:t>
            </w:r>
            <w:r>
              <w:rPr>
                <w:rFonts w:hint="eastAsia"/>
                <w:sz w:val="24"/>
                <w:lang w:eastAsia="zh-CN"/>
              </w:rPr>
              <w:t>销售部</w:t>
            </w:r>
            <w:r>
              <w:rPr>
                <w:sz w:val="24"/>
              </w:rPr>
              <w:t>应在合同或订单中明确顾客财产的具体信息。</w:t>
            </w:r>
          </w:p>
          <w:p>
            <w:pPr>
              <w:pStyle w:val="46"/>
              <w:numPr>
                <w:ilvl w:val="0"/>
                <w:numId w:val="0"/>
              </w:numPr>
              <w:tabs>
                <w:tab w:val="left" w:pos="1429"/>
              </w:tabs>
              <w:spacing w:before="0" w:after="0" w:line="364" w:lineRule="auto"/>
              <w:ind w:right="53" w:rightChars="0"/>
              <w:jc w:val="left"/>
              <w:rPr>
                <w:sz w:val="24"/>
              </w:rPr>
            </w:pPr>
            <w:r>
              <w:rPr>
                <w:rFonts w:hint="eastAsia"/>
                <w:spacing w:val="-6"/>
                <w:sz w:val="24"/>
                <w:lang w:eastAsia="zh-CN"/>
              </w:rPr>
              <w:t>质检部</w:t>
            </w:r>
            <w:r>
              <w:rPr>
                <w:spacing w:val="-6"/>
                <w:sz w:val="24"/>
              </w:rPr>
              <w:t>负责顾客财产的验证，设计部、仓库负责顾客财产的使用和维护，妥善保管</w:t>
            </w:r>
            <w:r>
              <w:rPr>
                <w:sz w:val="24"/>
              </w:rPr>
              <w:t>顾客提供的财产。</w:t>
            </w:r>
          </w:p>
          <w:p>
            <w:pPr>
              <w:rPr>
                <w:rFonts w:hint="eastAsia" w:ascii="宋体" w:hAnsi="宋体" w:eastAsia="宋体" w:cs="宋体"/>
                <w:spacing w:val="-7"/>
                <w:kern w:val="2"/>
                <w:sz w:val="24"/>
                <w:lang w:val="en-US" w:eastAsia="zh-CN" w:bidi="zh-CN"/>
              </w:rPr>
            </w:pPr>
            <w:r>
              <w:rPr>
                <w:rFonts w:hint="eastAsia" w:ascii="宋体" w:hAnsi="宋体" w:eastAsia="宋体" w:cs="宋体"/>
                <w:spacing w:val="-7"/>
                <w:kern w:val="2"/>
                <w:sz w:val="24"/>
                <w:lang w:val="zh-CN" w:eastAsia="zh-CN" w:bidi="zh-CN"/>
              </w:rPr>
              <w:t>公司目前无有形的外部供方财产，所保存的外部供方财产为供方的个人信息、</w:t>
            </w:r>
            <w:r>
              <w:rPr>
                <w:rFonts w:hint="eastAsia" w:ascii="宋体" w:hAnsi="宋体" w:eastAsia="宋体" w:cs="宋体"/>
                <w:spacing w:val="-7"/>
                <w:kern w:val="2"/>
                <w:sz w:val="24"/>
                <w:lang w:val="en-US" w:eastAsia="zh-CN" w:bidi="zh-CN"/>
              </w:rPr>
              <w:t>合同协议</w:t>
            </w:r>
            <w:r>
              <w:rPr>
                <w:rFonts w:hint="eastAsia" w:ascii="宋体" w:hAnsi="宋体" w:eastAsia="宋体" w:cs="宋体"/>
                <w:spacing w:val="-7"/>
                <w:kern w:val="2"/>
                <w:sz w:val="24"/>
                <w:lang w:val="zh-CN" w:eastAsia="zh-CN" w:bidi="zh-CN"/>
              </w:rPr>
              <w:t>。公司由</w:t>
            </w:r>
            <w:r>
              <w:rPr>
                <w:rFonts w:hint="eastAsia" w:ascii="宋体" w:hAnsi="宋体" w:eastAsia="宋体" w:cs="宋体"/>
                <w:spacing w:val="-7"/>
                <w:kern w:val="2"/>
                <w:sz w:val="24"/>
                <w:lang w:val="en-US" w:eastAsia="zh-CN" w:bidi="zh-CN"/>
              </w:rPr>
              <w:t>销售</w:t>
            </w:r>
            <w:r>
              <w:rPr>
                <w:rFonts w:hint="eastAsia" w:ascii="宋体" w:hAnsi="宋体" w:eastAsia="宋体" w:cs="宋体"/>
                <w:spacing w:val="-7"/>
                <w:kern w:val="2"/>
                <w:sz w:val="24"/>
                <w:lang w:val="zh-CN" w:eastAsia="zh-CN" w:bidi="zh-CN"/>
              </w:rPr>
              <w:t>部统一储存保管，防止泄露。</w:t>
            </w:r>
          </w:p>
        </w:tc>
        <w:tc>
          <w:tcPr>
            <w:tcW w:w="993"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zh-CN" w:eastAsia="zh-CN" w:bidi="zh-CN"/>
              </w:rPr>
              <w:t>顾客满意</w:t>
            </w:r>
          </w:p>
        </w:tc>
        <w:tc>
          <w:tcPr>
            <w:tcW w:w="960" w:type="dxa"/>
            <w:vAlign w:val="top"/>
          </w:tcPr>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Q</w:t>
            </w:r>
            <w:r>
              <w:rPr>
                <w:rFonts w:hint="eastAsia" w:ascii="宋体" w:hAnsi="宋体" w:eastAsia="宋体" w:cs="宋体"/>
                <w:spacing w:val="-7"/>
                <w:kern w:val="2"/>
                <w:sz w:val="24"/>
                <w:lang w:val="zh-CN" w:eastAsia="zh-CN" w:bidi="zh-CN"/>
              </w:rPr>
              <w:t>9.1.2</w:t>
            </w:r>
          </w:p>
        </w:tc>
        <w:tc>
          <w:tcPr>
            <w:tcW w:w="10596" w:type="dxa"/>
            <w:vAlign w:val="top"/>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公司有客户服务控制程序，有效文件。</w:t>
            </w:r>
          </w:p>
          <w:p>
            <w:pPr>
              <w:rPr>
                <w:rFonts w:hint="eastAsia" w:ascii="宋体" w:hAnsi="宋体" w:eastAsia="宋体" w:cs="宋体"/>
                <w:spacing w:val="-7"/>
                <w:kern w:val="2"/>
                <w:sz w:val="24"/>
                <w:lang w:val="zh-CN" w:eastAsia="zh-CN" w:bidi="zh-CN"/>
              </w:rPr>
            </w:pPr>
            <w:r>
              <w:rPr>
                <w:rFonts w:hint="eastAsia" w:ascii="宋体" w:hAnsi="宋体" w:eastAsia="宋体" w:cs="宋体"/>
                <w:spacing w:val="-7"/>
                <w:kern w:val="2"/>
                <w:sz w:val="24"/>
                <w:lang w:val="en-US" w:eastAsia="zh-CN" w:bidi="zh-CN"/>
              </w:rPr>
              <w:t>查见2022年5月30日</w:t>
            </w:r>
            <w:r>
              <w:rPr>
                <w:rFonts w:ascii="宋体" w:hAnsi="宋体" w:eastAsia="宋体" w:cs="宋体"/>
                <w:spacing w:val="-7"/>
                <w:kern w:val="2"/>
                <w:sz w:val="24"/>
                <w:lang w:val="zh-CN" w:eastAsia="zh-CN" w:bidi="zh-CN"/>
              </w:rPr>
              <w:t>“</w:t>
            </w:r>
            <w:r>
              <w:rPr>
                <w:rFonts w:hint="eastAsia" w:ascii="宋体" w:hAnsi="宋体" w:eastAsia="宋体" w:cs="宋体"/>
                <w:spacing w:val="-7"/>
                <w:kern w:val="2"/>
                <w:sz w:val="24"/>
                <w:lang w:val="en-US" w:eastAsia="zh-CN" w:bidi="zh-CN"/>
              </w:rPr>
              <w:t>顾客满意度调查表</w:t>
            </w:r>
            <w:r>
              <w:rPr>
                <w:rFonts w:ascii="宋体" w:hAnsi="宋体" w:eastAsia="宋体" w:cs="宋体"/>
                <w:spacing w:val="-7"/>
                <w:kern w:val="2"/>
                <w:sz w:val="24"/>
                <w:lang w:val="zh-CN" w:eastAsia="zh-CN" w:bidi="zh-CN"/>
              </w:rPr>
              <w:t>”</w:t>
            </w:r>
            <w:r>
              <w:rPr>
                <w:rFonts w:hint="eastAsia" w:ascii="宋体" w:hAnsi="宋体" w:eastAsia="宋体" w:cs="宋体"/>
                <w:spacing w:val="-7"/>
                <w:kern w:val="2"/>
                <w:sz w:val="24"/>
                <w:lang w:val="en-US" w:eastAsia="zh-CN" w:bidi="zh-CN"/>
              </w:rPr>
              <w:t>及“顾客满意度统计分析表”</w:t>
            </w:r>
            <w:r>
              <w:rPr>
                <w:rFonts w:ascii="宋体" w:hAnsi="宋体" w:eastAsia="宋体" w:cs="宋体"/>
                <w:spacing w:val="-7"/>
                <w:kern w:val="2"/>
                <w:sz w:val="24"/>
                <w:lang w:val="zh-CN" w:eastAsia="zh-CN" w:bidi="zh-CN"/>
              </w:rPr>
              <w:t>，调查主要内容：</w:t>
            </w:r>
            <w:r>
              <w:rPr>
                <w:rFonts w:hint="eastAsia" w:ascii="宋体" w:hAnsi="宋体" w:eastAsia="宋体" w:cs="宋体"/>
                <w:spacing w:val="-7"/>
                <w:kern w:val="2"/>
                <w:sz w:val="24"/>
                <w:lang w:val="en-US" w:eastAsia="zh-CN" w:bidi="zh-CN"/>
              </w:rPr>
              <w:t>产品质量、产品</w:t>
            </w:r>
            <w:r>
              <w:rPr>
                <w:rFonts w:hint="eastAsia" w:ascii="宋体" w:hAnsi="宋体" w:eastAsia="宋体" w:cs="宋体"/>
                <w:spacing w:val="-7"/>
                <w:kern w:val="2"/>
                <w:sz w:val="24"/>
                <w:lang w:val="zh-CN" w:eastAsia="zh-CN" w:bidi="zh-CN"/>
              </w:rPr>
              <w:t>售后，</w:t>
            </w:r>
            <w:r>
              <w:rPr>
                <w:rFonts w:hint="eastAsia" w:ascii="宋体" w:hAnsi="宋体" w:eastAsia="宋体" w:cs="宋体"/>
                <w:spacing w:val="-7"/>
                <w:kern w:val="2"/>
                <w:sz w:val="24"/>
                <w:lang w:val="en-US" w:eastAsia="zh-CN" w:bidi="zh-CN"/>
              </w:rPr>
              <w:t>产品</w:t>
            </w:r>
            <w:r>
              <w:rPr>
                <w:rFonts w:hint="eastAsia" w:ascii="宋体" w:hAnsi="宋体" w:eastAsia="宋体" w:cs="宋体"/>
                <w:spacing w:val="-7"/>
                <w:kern w:val="2"/>
                <w:sz w:val="24"/>
                <w:lang w:val="zh-CN" w:eastAsia="zh-CN" w:bidi="zh-CN"/>
              </w:rPr>
              <w:t>服务</w:t>
            </w:r>
            <w:r>
              <w:rPr>
                <w:rFonts w:ascii="宋体" w:hAnsi="宋体" w:eastAsia="宋体" w:cs="宋体"/>
                <w:spacing w:val="-7"/>
                <w:kern w:val="2"/>
                <w:sz w:val="24"/>
                <w:lang w:val="zh-CN" w:eastAsia="zh-CN" w:bidi="zh-CN"/>
              </w:rPr>
              <w:t>等方面的满意程度等，</w:t>
            </w:r>
            <w:r>
              <w:rPr>
                <w:rFonts w:hint="eastAsia" w:ascii="宋体" w:hAnsi="宋体" w:eastAsia="宋体" w:cs="宋体"/>
                <w:spacing w:val="-7"/>
                <w:kern w:val="2"/>
                <w:sz w:val="24"/>
                <w:lang w:val="zh-CN" w:eastAsia="zh-CN" w:bidi="zh-CN"/>
              </w:rPr>
              <w:t>评分准则：满意（96-100） 较满意（80-95）  一般（60-79）  不满意（60以下）</w:t>
            </w:r>
          </w:p>
          <w:p>
            <w:pPr>
              <w:rPr>
                <w:rFonts w:hint="eastAsia" w:ascii="宋体" w:hAnsi="宋体" w:eastAsia="宋体" w:cs="宋体"/>
                <w:spacing w:val="-7"/>
                <w:kern w:val="2"/>
                <w:sz w:val="24"/>
                <w:lang w:val="en-US" w:eastAsia="zh-CN" w:bidi="zh-CN"/>
              </w:rPr>
            </w:pPr>
            <w:r>
              <w:rPr>
                <w:rFonts w:ascii="宋体" w:hAnsi="宋体" w:eastAsia="宋体" w:cs="宋体"/>
                <w:spacing w:val="-7"/>
                <w:kern w:val="2"/>
                <w:sz w:val="24"/>
                <w:lang w:val="zh-CN" w:eastAsia="zh-CN" w:bidi="zh-CN"/>
              </w:rPr>
              <w:t>各项得分求平均值得最终结果。最终顾客满意率</w:t>
            </w:r>
            <w:r>
              <w:rPr>
                <w:rFonts w:hint="eastAsia" w:ascii="宋体" w:hAnsi="宋体" w:eastAsia="宋体" w:cs="宋体"/>
                <w:spacing w:val="-7"/>
                <w:kern w:val="2"/>
                <w:sz w:val="24"/>
                <w:lang w:val="zh-CN" w:eastAsia="zh-CN" w:bidi="zh-CN"/>
              </w:rPr>
              <w:t>9</w:t>
            </w:r>
            <w:r>
              <w:rPr>
                <w:rFonts w:hint="eastAsia" w:ascii="宋体" w:hAnsi="宋体" w:eastAsia="宋体" w:cs="宋体"/>
                <w:spacing w:val="-7"/>
                <w:kern w:val="2"/>
                <w:sz w:val="24"/>
                <w:lang w:val="en-US" w:eastAsia="zh-CN" w:bidi="zh-CN"/>
              </w:rPr>
              <w:t>6</w:t>
            </w:r>
            <w:r>
              <w:rPr>
                <w:rFonts w:ascii="宋体" w:hAnsi="宋体" w:eastAsia="宋体" w:cs="宋体"/>
                <w:spacing w:val="-7"/>
                <w:kern w:val="2"/>
                <w:sz w:val="24"/>
                <w:lang w:val="zh-CN" w:eastAsia="zh-CN" w:bidi="zh-CN"/>
              </w:rPr>
              <w:t>%。</w:t>
            </w:r>
            <w:r>
              <w:rPr>
                <w:rFonts w:hint="eastAsia" w:ascii="宋体" w:hAnsi="宋体" w:eastAsia="宋体" w:cs="宋体"/>
                <w:spacing w:val="-7"/>
                <w:kern w:val="2"/>
                <w:sz w:val="24"/>
                <w:lang w:val="en-US" w:eastAsia="zh-CN" w:bidi="zh-CN"/>
              </w:rPr>
              <w:t>完成了公司95%的目标。</w:t>
            </w:r>
          </w:p>
        </w:tc>
        <w:tc>
          <w:tcPr>
            <w:tcW w:w="993" w:type="dxa"/>
          </w:tcPr>
          <w:p>
            <w:pPr>
              <w:rPr>
                <w:rFonts w:hint="default" w:ascii="宋体" w:hAnsi="宋体" w:eastAsia="宋体" w:cs="宋体"/>
                <w:spacing w:val="-7"/>
                <w:kern w:val="2"/>
                <w:sz w:val="24"/>
                <w:lang w:val="en-US" w:eastAsia="zh-CN" w:bidi="zh-CN"/>
              </w:rPr>
            </w:pPr>
            <w:r>
              <w:rPr>
                <w:rFonts w:hint="eastAsia" w:ascii="宋体" w:hAnsi="宋体" w:eastAsia="宋体" w:cs="宋体"/>
                <w:spacing w:val="-7"/>
                <w:kern w:val="2"/>
                <w:sz w:val="24"/>
                <w:lang w:val="en-US" w:eastAsia="zh-CN" w:bidi="zh-CN"/>
              </w:rPr>
              <w:t>Y</w:t>
            </w:r>
          </w:p>
        </w:tc>
      </w:tr>
    </w:tbl>
    <w:p>
      <w:pPr>
        <w:pStyle w:val="8"/>
      </w:pPr>
      <w:r>
        <w:rPr>
          <w:rFonts w:hint="eastAsia" w:ascii="宋体" w:hAnsi="宋体" w:eastAsia="宋体" w:cs="宋体"/>
          <w:spacing w:val="-7"/>
          <w:kern w:val="2"/>
          <w:sz w:val="24"/>
          <w:lang w:val="zh-CN" w:eastAsia="zh-CN" w:bidi="zh-CN"/>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59E7B"/>
    <w:multiLevelType w:val="singleLevel"/>
    <w:tmpl w:val="37F59E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0YmI5OWQ4NWRjNjVjNzdmNjMxMTM2ODE2ZGNkOGI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0A590ED5"/>
    <w:rsid w:val="144C66E8"/>
    <w:rsid w:val="179A34E4"/>
    <w:rsid w:val="1A900232"/>
    <w:rsid w:val="1C161738"/>
    <w:rsid w:val="1C9B6F04"/>
    <w:rsid w:val="30B21F3D"/>
    <w:rsid w:val="327F351A"/>
    <w:rsid w:val="34973476"/>
    <w:rsid w:val="38121101"/>
    <w:rsid w:val="40F16E61"/>
    <w:rsid w:val="41EC311C"/>
    <w:rsid w:val="48715FDD"/>
    <w:rsid w:val="4BAF4744"/>
    <w:rsid w:val="528746C6"/>
    <w:rsid w:val="55B701B4"/>
    <w:rsid w:val="67701CAF"/>
    <w:rsid w:val="6E411F76"/>
    <w:rsid w:val="72DA760F"/>
    <w:rsid w:val="7BD44C5F"/>
    <w:rsid w:val="7C592261"/>
    <w:rsid w:val="7D1D2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5">
    <w:name w:val="Emphasis"/>
    <w:basedOn w:val="12"/>
    <w:qFormat/>
    <w:uiPriority w:val="20"/>
    <w:rPr>
      <w:i/>
      <w:iCs/>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rPr>
      <w:sz w:val="0"/>
      <w:szCs w:val="0"/>
      <w:bdr w:val="single" w:color="CCCCCC" w:sz="2" w:space="0"/>
      <w:shd w:val="clear" w:fill="FFFFFF"/>
    </w:rPr>
  </w:style>
  <w:style w:type="character" w:styleId="18">
    <w:name w:val="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9">
    <w:name w:val="HTML Code"/>
    <w:basedOn w:val="12"/>
    <w:semiHidden/>
    <w:unhideWhenUsed/>
    <w:qFormat/>
    <w:uiPriority w:val="99"/>
    <w:rPr>
      <w:rFonts w:hint="default" w:ascii="Courier New" w:hAnsi="Courier New" w:eastAsia="Courier New" w:cs="Courier New"/>
      <w:sz w:val="20"/>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hint="default" w:ascii="Courier New" w:hAnsi="Courier New" w:eastAsia="Courier New" w:cs="Courier New"/>
      <w:sz w:val="20"/>
    </w:rPr>
  </w:style>
  <w:style w:type="character" w:styleId="22">
    <w:name w:val="HTML Sample"/>
    <w:basedOn w:val="12"/>
    <w:semiHidden/>
    <w:unhideWhenUsed/>
    <w:qFormat/>
    <w:uiPriority w:val="99"/>
    <w:rPr>
      <w:rFonts w:ascii="Courier New" w:hAnsi="Courier New" w:eastAsia="Courier New" w:cs="Courier New"/>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2"/>
    <w:qFormat/>
    <w:uiPriority w:val="0"/>
    <w:rPr>
      <w:vanish/>
    </w:rPr>
  </w:style>
  <w:style w:type="character" w:customStyle="1" w:styleId="32">
    <w:name w:val="checked1"/>
    <w:basedOn w:val="12"/>
    <w:qFormat/>
    <w:uiPriority w:val="0"/>
  </w:style>
  <w:style w:type="character" w:customStyle="1" w:styleId="33">
    <w:name w:val="ca-nav-next"/>
    <w:basedOn w:val="12"/>
    <w:qFormat/>
    <w:uiPriority w:val="0"/>
  </w:style>
  <w:style w:type="character" w:customStyle="1" w:styleId="34">
    <w:name w:val="button"/>
    <w:basedOn w:val="12"/>
    <w:qFormat/>
    <w:uiPriority w:val="0"/>
  </w:style>
  <w:style w:type="character" w:customStyle="1" w:styleId="35">
    <w:name w:val="last-child"/>
    <w:basedOn w:val="12"/>
    <w:qFormat/>
    <w:uiPriority w:val="0"/>
    <w:rPr>
      <w:color w:val="999999"/>
    </w:rPr>
  </w:style>
  <w:style w:type="character" w:customStyle="1" w:styleId="36">
    <w:name w:val="last-child1"/>
    <w:basedOn w:val="12"/>
    <w:qFormat/>
    <w:uiPriority w:val="0"/>
  </w:style>
  <w:style w:type="character" w:customStyle="1" w:styleId="37">
    <w:name w:val="hover19"/>
    <w:basedOn w:val="12"/>
    <w:qFormat/>
    <w:uiPriority w:val="0"/>
  </w:style>
  <w:style w:type="character" w:customStyle="1" w:styleId="38">
    <w:name w:val="hover20"/>
    <w:basedOn w:val="12"/>
    <w:qFormat/>
    <w:uiPriority w:val="0"/>
    <w:rPr>
      <w:shd w:val="clear" w:fill="F2F2F2"/>
    </w:rPr>
  </w:style>
  <w:style w:type="character" w:customStyle="1" w:styleId="39">
    <w:name w:val="hover21"/>
    <w:basedOn w:val="12"/>
    <w:qFormat/>
    <w:uiPriority w:val="0"/>
    <w:rPr>
      <w:shd w:val="clear" w:fill="F2F2F2"/>
    </w:rPr>
  </w:style>
  <w:style w:type="character" w:customStyle="1" w:styleId="40">
    <w:name w:val="active2"/>
    <w:basedOn w:val="12"/>
    <w:qFormat/>
    <w:uiPriority w:val="0"/>
    <w:rPr>
      <w:shd w:val="clear" w:fill="F2F2F2"/>
    </w:rPr>
  </w:style>
  <w:style w:type="character" w:customStyle="1" w:styleId="41">
    <w:name w:val="tmpztreemove_arrow"/>
    <w:basedOn w:val="12"/>
    <w:qFormat/>
    <w:uiPriority w:val="0"/>
  </w:style>
  <w:style w:type="character" w:customStyle="1" w:styleId="42">
    <w:name w:val="hover"/>
    <w:basedOn w:val="12"/>
    <w:qFormat/>
    <w:uiPriority w:val="0"/>
  </w:style>
  <w:style w:type="character" w:customStyle="1" w:styleId="43">
    <w:name w:val="hover1"/>
    <w:basedOn w:val="12"/>
    <w:qFormat/>
    <w:uiPriority w:val="0"/>
    <w:rPr>
      <w:shd w:val="clear" w:fill="F2F2F2"/>
    </w:rPr>
  </w:style>
  <w:style w:type="character" w:customStyle="1" w:styleId="44">
    <w:name w:val="hover2"/>
    <w:basedOn w:val="12"/>
    <w:qFormat/>
    <w:uiPriority w:val="0"/>
    <w:rPr>
      <w:shd w:val="clear" w:fill="F2F2F2"/>
    </w:rPr>
  </w:style>
  <w:style w:type="paragraph" w:customStyle="1" w:styleId="45">
    <w:name w:val="Body 9pt"/>
    <w:basedOn w:val="1"/>
    <w:qFormat/>
    <w:uiPriority w:val="0"/>
    <w:pPr>
      <w:spacing w:before="40" w:after="40"/>
    </w:pPr>
    <w:rPr>
      <w:rFonts w:eastAsia="Times New Roman"/>
      <w:sz w:val="18"/>
      <w:lang w:val="de-DE" w:eastAsia="de-DE"/>
    </w:rPr>
  </w:style>
  <w:style w:type="paragraph" w:customStyle="1" w:styleId="4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1906</Words>
  <Characters>2087</Characters>
  <Lines>142</Lines>
  <Paragraphs>40</Paragraphs>
  <TotalTime>6</TotalTime>
  <ScaleCrop>false</ScaleCrop>
  <LinksUpToDate>false</LinksUpToDate>
  <CharactersWithSpaces>2401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恒几小盆友</cp:lastModifiedBy>
  <dcterms:modified xsi:type="dcterms:W3CDTF">2023-03-07T12:00:49Z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CBDABF299A064D14A5DF11D9E897C68B</vt:lpwstr>
  </property>
</Properties>
</file>