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0906-2022-O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河北烽煊采暖设备制造有限公司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河北烽煊采暖设备制造有限公司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晋州市通达路</w:t>
            </w:r>
            <w:bookmarkEnd w:id="6"/>
          </w:p>
        </w:tc>
        <w:tc>
          <w:tcPr>
            <w:tcW w:w="1242" w:type="dxa"/>
            <w:vMerge w:val="restart"/>
            <w:vAlign w:val="center"/>
          </w:tcPr>
          <w:p>
            <w:r>
              <w:rPr>
                <w:rFonts w:hint="eastAsia"/>
              </w:rPr>
              <w:t>邮编</w:t>
            </w:r>
          </w:p>
        </w:tc>
        <w:tc>
          <w:tcPr>
            <w:tcW w:w="1771" w:type="dxa"/>
          </w:tcPr>
          <w:p>
            <w:bookmarkStart w:id="7" w:name="注册邮编"/>
            <w:r>
              <w:t>052260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河北省晋州市通达路</w:t>
            </w:r>
            <w:bookmarkEnd w:id="8"/>
          </w:p>
        </w:tc>
        <w:tc>
          <w:tcPr>
            <w:tcW w:w="1242" w:type="dxa"/>
            <w:vMerge w:val="continue"/>
            <w:vAlign w:val="center"/>
          </w:tcPr>
          <w:p/>
        </w:tc>
        <w:tc>
          <w:tcPr>
            <w:tcW w:w="1771" w:type="dxa"/>
          </w:tcPr>
          <w:p>
            <w:bookmarkStart w:id="9" w:name="办公邮编"/>
            <w:r>
              <w:t>052260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韩帅</w:t>
            </w:r>
            <w:bookmarkEnd w:id="10"/>
          </w:p>
        </w:tc>
        <w:tc>
          <w:tcPr>
            <w:tcW w:w="1313" w:type="dxa"/>
            <w:vAlign w:val="center"/>
          </w:tcPr>
          <w:p>
            <w:r>
              <w:rPr>
                <w:rFonts w:hint="eastAsia"/>
              </w:rPr>
              <w:t>电话.</w:t>
            </w:r>
          </w:p>
        </w:tc>
        <w:tc>
          <w:tcPr>
            <w:tcW w:w="2180" w:type="dxa"/>
            <w:vAlign w:val="center"/>
          </w:tcPr>
          <w:p>
            <w:bookmarkStart w:id="11" w:name="联系人电话"/>
            <w:r>
              <w:t>13931115179 0311-84316229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石培轻</w:t>
            </w:r>
            <w:bookmarkEnd w:id="13"/>
          </w:p>
        </w:tc>
        <w:tc>
          <w:tcPr>
            <w:tcW w:w="1313" w:type="dxa"/>
            <w:vAlign w:val="center"/>
          </w:tcPr>
          <w:p>
            <w:r>
              <w:rPr>
                <w:rFonts w:hint="eastAsia"/>
              </w:rPr>
              <w:t>管理者代表</w:t>
            </w:r>
          </w:p>
        </w:tc>
        <w:tc>
          <w:tcPr>
            <w:tcW w:w="2180" w:type="dxa"/>
          </w:tcPr>
          <w:p>
            <w:bookmarkStart w:id="14" w:name="管理者代表"/>
            <w:r>
              <w:t>孙庆斌</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业务洽谈―签订合同―产品采购―发货至顾客指定地址―验收―结算</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2022年08月18日 下午至2022年08月19日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常压民用采暖炉、电暖器、暖气片、水暖管件、静态蓄热式电暖器（固体蓄热式电暖器）、空气源热泵、地源热泵机组、空气源热泵热风机、燃气壁挂炉、配电箱（柜）、太阳能及石墨烯设备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29.11.04;29.12.00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河北烽煊采暖设备制造有限公司</w:t>
            </w:r>
            <w:r>
              <w:rPr>
                <w:rFonts w:hint="eastAsia"/>
                <w:sz w:val="21"/>
                <w:szCs w:val="21"/>
                <w:lang w:val="en-US" w:eastAsia="zh-CN"/>
              </w:rPr>
              <w:t>/</w:t>
            </w:r>
            <w:r>
              <w:rPr>
                <w:rFonts w:asciiTheme="minorEastAsia" w:hAnsiTheme="minorEastAsia" w:eastAsiaTheme="minorEastAsia"/>
                <w:sz w:val="20"/>
              </w:rPr>
              <w:t>晋州市通达路</w:t>
            </w:r>
          </w:p>
        </w:tc>
        <w:tc>
          <w:tcPr>
            <w:tcW w:w="2267" w:type="dxa"/>
            <w:vAlign w:val="top"/>
          </w:tcPr>
          <w:p>
            <w:pPr>
              <w:spacing w:before="40" w:after="40"/>
              <w:rPr>
                <w:rFonts w:hint="eastAsia" w:ascii="Times New Roman" w:hAnsi="Times New Roman" w:eastAsia="黑体" w:cs="Times New Roman"/>
                <w:kern w:val="2"/>
                <w:sz w:val="21"/>
                <w:szCs w:val="21"/>
                <w:lang w:val="de-DE" w:eastAsia="ja-JP" w:bidi="ar-SA"/>
              </w:rPr>
            </w:pPr>
            <w:r>
              <w:rPr>
                <w:rFonts w:asciiTheme="minorEastAsia" w:hAnsiTheme="minorEastAsia" w:eastAsiaTheme="minorEastAsia"/>
                <w:sz w:val="20"/>
              </w:rPr>
              <w:t>河北省晋州市通达路</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25</w:t>
            </w:r>
          </w:p>
        </w:tc>
        <w:tc>
          <w:tcPr>
            <w:tcW w:w="2803" w:type="dxa"/>
            <w:vAlign w:val="center"/>
          </w:tcPr>
          <w:p>
            <w:pPr>
              <w:pStyle w:val="21"/>
              <w:rPr>
                <w:rFonts w:ascii="Times New Roman" w:hAnsi="Times New Roman" w:eastAsia="黑体" w:cs="Arial"/>
                <w:kern w:val="2"/>
                <w:sz w:val="21"/>
                <w:szCs w:val="21"/>
                <w:lang w:val="en-US" w:eastAsia="ja-JP" w:bidi="ar-SA"/>
              </w:rPr>
            </w:pPr>
            <w:r>
              <w:t>常压民用采暖炉、电暖器、暖气片、水暖管件、静态蓄热式电暖器（固体蓄热式电暖器）、空气源热泵冷暖机组、地源热泵冷暖机组、空气源热泵热风机、燃气壁挂炉、配电箱（柜）、太阳能及石墨烯供暖设备的销售</w:t>
            </w:r>
          </w:p>
        </w:tc>
        <w:tc>
          <w:tcPr>
            <w:tcW w:w="669" w:type="dxa"/>
            <w:vAlign w:val="center"/>
          </w:tcPr>
          <w:p>
            <w:pPr>
              <w:keepNext w:val="0"/>
              <w:keepLines w:val="0"/>
              <w:pageBreakBefore w:val="0"/>
              <w:kinsoku/>
              <w:wordWrap/>
              <w:overflowPunct/>
              <w:topLinePunct w:val="0"/>
              <w:autoSpaceDE/>
              <w:autoSpaceDN/>
              <w:bidi w:val="0"/>
              <w:adjustRightInd/>
              <w:spacing w:line="240" w:lineRule="exact"/>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1"/>
                <w:szCs w:val="21"/>
                <w:lang w:val="en-GB" w:eastAsia="de-DE" w:bidi="ar-SA"/>
              </w:rPr>
              <w:t>GB/T45001-2020</w:t>
            </w:r>
          </w:p>
        </w:tc>
        <w:tc>
          <w:tcPr>
            <w:tcW w:w="668" w:type="dxa"/>
            <w:shd w:val="clear" w:color="auto" w:fill="FFFFFF"/>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pStyle w:val="12"/>
            </w:pP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范玲玲</w:t>
            </w:r>
          </w:p>
        </w:tc>
        <w:tc>
          <w:tcPr>
            <w:tcW w:w="1089" w:type="dxa"/>
            <w:vAlign w:val="center"/>
          </w:tcPr>
          <w:p>
            <w:r>
              <w:t>组长</w:t>
            </w:r>
          </w:p>
        </w:tc>
        <w:tc>
          <w:tcPr>
            <w:tcW w:w="711" w:type="dxa"/>
            <w:vAlign w:val="center"/>
          </w:tcPr>
          <w:p>
            <w:r>
              <w:t>女</w:t>
            </w:r>
          </w:p>
        </w:tc>
        <w:tc>
          <w:tcPr>
            <w:tcW w:w="3870" w:type="dxa"/>
            <w:vAlign w:val="center"/>
          </w:tcPr>
          <w:p>
            <w:r>
              <w:t>2021-N1OHSMS-3024421</w:t>
            </w:r>
          </w:p>
        </w:tc>
        <w:tc>
          <w:tcPr>
            <w:tcW w:w="2179" w:type="dxa"/>
            <w:vAlign w:val="center"/>
          </w:tcPr>
          <w:p>
            <w:r>
              <w:t>29.11.04,29.12.00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上次审核未发现不符合项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914400" cy="373380"/>
                  <wp:effectExtent l="0" t="0" r="0" b="0"/>
                  <wp:docPr id="1" name="图片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
                          <pic:cNvPicPr>
                            <a:picLocks noChangeAspect="1"/>
                          </pic:cNvPicPr>
                        </pic:nvPicPr>
                        <pic:blipFill>
                          <a:blip r:embed="rId6"/>
                          <a:stretch>
                            <a:fillRect/>
                          </a:stretch>
                        </pic:blipFill>
                        <pic:spPr>
                          <a:xfrm>
                            <a:off x="0" y="0"/>
                            <a:ext cx="914400" cy="373380"/>
                          </a:xfrm>
                          <a:prstGeom prst="rect">
                            <a:avLst/>
                          </a:prstGeom>
                        </pic:spPr>
                      </pic:pic>
                    </a:graphicData>
                  </a:graphic>
                </wp:inline>
              </w:drawing>
            </w:r>
          </w:p>
          <w:p/>
        </w:tc>
        <w:tc>
          <w:tcPr>
            <w:tcW w:w="2764" w:type="dxa"/>
            <w:tcMar>
              <w:left w:w="113" w:type="dxa"/>
            </w:tcMar>
          </w:tcPr>
          <w:p>
            <w:pPr>
              <w:rPr>
                <w:rFonts w:hint="default" w:eastAsia="宋体"/>
                <w:lang w:val="en-US" w:eastAsia="zh-CN"/>
              </w:rPr>
            </w:pPr>
            <w:r>
              <w:rPr>
                <w:rFonts w:hint="eastAsia"/>
              </w:rPr>
              <w:t>日期</w:t>
            </w:r>
            <w:r>
              <w:rPr>
                <w:rFonts w:hint="eastAsia"/>
                <w:lang w:val="en-US" w:eastAsia="zh-CN"/>
              </w:rPr>
              <w:t>2022.8.19</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贾旭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疫情爆发带来的不安定</w:t>
                  </w:r>
                </w:p>
              </w:tc>
              <w:tc>
                <w:tcPr>
                  <w:tcW w:w="3965"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制定疫情应对措施，配备防疫用品，进出测量体温、定期消杀、外地人员或去过风险地区人员的报备</w:t>
                  </w:r>
                </w:p>
              </w:tc>
              <w:tc>
                <w:tcPr>
                  <w:tcW w:w="1717"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Times New Roman" w:hAnsi="Times New Roman" w:cs="Times New Roman"/>
                      <w:sz w:val="21"/>
                      <w:szCs w:val="21"/>
                    </w:rPr>
                    <w:t>轻伤事故少于3起/年</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对人员进行培训</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Times New Roman" w:hAnsi="Times New Roman" w:cs="Times New Roman"/>
                      <w:sz w:val="21"/>
                      <w:szCs w:val="21"/>
                    </w:rPr>
                    <w:t>无火灾及重大安全事故发生</w:t>
                  </w:r>
                </w:p>
              </w:tc>
              <w:tc>
                <w:tcPr>
                  <w:tcW w:w="3136" w:type="dxa"/>
                  <w:shd w:val="clear" w:color="auto" w:fill="auto"/>
                  <w:vAlign w:val="center"/>
                </w:tcPr>
                <w:p>
                  <w:pPr>
                    <w:rPr>
                      <w:rFonts w:ascii="宋体" w:hAnsi="宋体"/>
                    </w:rPr>
                  </w:pPr>
                  <w:r>
                    <w:rPr>
                      <w:rFonts w:hint="eastAsia" w:ascii="Times New Roman" w:hAnsi="Times New Roman" w:cs="Times New Roman"/>
                      <w:sz w:val="18"/>
                      <w:szCs w:val="18"/>
                      <w:lang w:val="en-US" w:eastAsia="zh-CN"/>
                    </w:rPr>
                    <w:t>对人员进行培训，设置禁烟警示标识；及时更换失效的消防器材；对火灾进行应急预案演练；定期检查，及时排除火灾隐患</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1000</w:t>
            </w:r>
            <w:r>
              <w:rPr>
                <w:rFonts w:hint="eastAsia"/>
              </w:rPr>
              <w:t>平方米；</w:t>
            </w:r>
            <w:r>
              <w:rPr>
                <w:rFonts w:hint="eastAsia"/>
                <w:lang w:val="en-US" w:eastAsia="zh-CN"/>
              </w:rPr>
              <w:t>办公室3</w:t>
            </w:r>
            <w:r>
              <w:rPr>
                <w:rFonts w:hint="eastAsia"/>
              </w:rPr>
              <w:t>个；库房</w:t>
            </w:r>
            <w:r>
              <w:rPr>
                <w:rFonts w:hint="eastAsia"/>
                <w:lang w:val="en-US" w:eastAsia="zh-CN"/>
              </w:rPr>
              <w:t>1</w:t>
            </w:r>
            <w:r>
              <w:rPr>
                <w:rFonts w:hint="eastAsia"/>
              </w:rPr>
              <w:t>个；</w:t>
            </w:r>
          </w:p>
          <w:p>
            <w:pPr>
              <w:rPr>
                <w:u w:val="single"/>
              </w:rPr>
            </w:pPr>
            <w:r>
              <w:rPr>
                <w:rFonts w:hint="eastAsia"/>
              </w:rPr>
              <w:t>主要</w:t>
            </w:r>
            <w:r>
              <w:rPr>
                <w:rFonts w:hint="eastAsia"/>
                <w:lang w:val="en-US" w:eastAsia="zh-CN"/>
              </w:rPr>
              <w:t>服务</w:t>
            </w:r>
            <w:r>
              <w:rPr>
                <w:rFonts w:hint="eastAsia"/>
              </w:rPr>
              <w:t>设备有：</w:t>
            </w:r>
            <w:r>
              <w:rPr>
                <w:rFonts w:hint="eastAsia"/>
                <w:u w:val="single"/>
                <w:lang w:val="en-US" w:eastAsia="zh-CN"/>
              </w:rPr>
              <w:t>办公桌椅、电脑、打印机等</w:t>
            </w:r>
            <w:r>
              <w:rPr>
                <w:rFonts w:hint="eastAsia"/>
                <w:u w:val="single"/>
              </w:rPr>
              <w:t>（列举2~4种）</w:t>
            </w:r>
          </w:p>
          <w:p>
            <w:r>
              <w:rPr>
                <w:rFonts w:hint="eastAsia"/>
              </w:rPr>
              <w:t>主主要安全装置有：</w:t>
            </w:r>
          </w:p>
          <w:p>
            <w:pPr>
              <w:rPr>
                <w:u w:val="single"/>
              </w:rPr>
            </w:pP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lang w:val="en-US"/>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r>
              <w:rPr>
                <w:rFonts w:hint="eastAsia"/>
                <w:lang w:eastAsia="zh-CN"/>
              </w:rPr>
              <w:t>（</w:t>
            </w:r>
            <w:r>
              <w:rPr>
                <w:rFonts w:hint="eastAsia"/>
                <w:lang w:val="en-US" w:eastAsia="zh-CN"/>
              </w:rPr>
              <w:t>喷塑、焊接</w:t>
            </w:r>
            <w:r>
              <w:rPr>
                <w:rFonts w:hint="eastAsia"/>
                <w:lang w:eastAsia="zh-CN"/>
              </w:rPr>
              <w:t>）</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未对外包方施加影响</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eastAsia="zh-CN"/>
                    </w:rPr>
                    <w:t>☑</w:t>
                  </w:r>
                  <w:r>
                    <w:rPr>
                      <w:rFonts w:hint="eastAsia"/>
                      <w:lang w:val="en-US" w:eastAsia="zh-CN"/>
                    </w:rPr>
                    <w:t>配置灭火器，对员工进行培训，进行消防演练</w:t>
                  </w:r>
                </w:p>
              </w:tc>
              <w:tc>
                <w:tcPr>
                  <w:tcW w:w="2205" w:type="dxa"/>
                </w:tcPr>
                <w:p>
                  <w:pPr>
                    <w:jc w:val="left"/>
                    <w:rPr>
                      <w:rFonts w:hint="default" w:eastAsia="宋体"/>
                      <w:lang w:val="en-US" w:eastAsia="zh-CN"/>
                    </w:rPr>
                  </w:pPr>
                  <w:r>
                    <w:rPr>
                      <w:rFonts w:hint="eastAsia"/>
                      <w:lang w:val="en-US" w:eastAsia="zh-CN"/>
                    </w:rPr>
                    <w:t>符合要求</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r>
              <w:rPr>
                <w:rFonts w:hint="eastAsia"/>
              </w:rPr>
              <w:t>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12</w:t>
            </w:r>
            <w:r>
              <w:rPr>
                <w:rFonts w:hint="eastAsia"/>
              </w:rPr>
              <w:t>日进行了</w:t>
            </w:r>
            <w:r>
              <w:rPr>
                <w:rFonts w:hint="eastAsia"/>
                <w:lang w:val="en-US" w:eastAsia="zh-CN"/>
              </w:rPr>
              <w:t>工伤事故</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vAlign w:val="top"/>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2022年4月8日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2022年4月17-18日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最高管理者已按策划的时间间隔，在</w:t>
            </w:r>
            <w:r>
              <w:rPr>
                <w:rFonts w:hint="eastAsia"/>
                <w:lang w:val="en-US" w:eastAsia="zh-CN"/>
              </w:rPr>
              <w:t>2022年4月30</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vAlign w:val="top"/>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hOGY5MzIwYjM5OWFmZGI4MTBhODVhYjUzMzlkOTUifQ=="/>
  </w:docVars>
  <w:rsids>
    <w:rsidRoot w:val="00000000"/>
    <w:rsid w:val="08B217D0"/>
    <w:rsid w:val="0E21006E"/>
    <w:rsid w:val="20E00C0C"/>
    <w:rsid w:val="22D27855"/>
    <w:rsid w:val="2E9564F7"/>
    <w:rsid w:val="3687454F"/>
    <w:rsid w:val="383406D9"/>
    <w:rsid w:val="440B306C"/>
    <w:rsid w:val="61A226C9"/>
    <w:rsid w:val="6CCA6073"/>
    <w:rsid w:val="6F8A0D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rPr>
      <w:rFonts w:ascii="Times New Roman" w:hAnsi="Times New Roman" w:eastAsia="宋体" w:cs="Times New Roman"/>
      <w:sz w:val="22"/>
      <w:szCs w:val="22"/>
      <w:lang w:val="en-US" w:eastAsia="zh-CN" w:bidi="ar-SA"/>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9230</Words>
  <Characters>9782</Characters>
  <Lines>150</Lines>
  <Paragraphs>42</Paragraphs>
  <TotalTime>1</TotalTime>
  <ScaleCrop>false</ScaleCrop>
  <LinksUpToDate>false</LinksUpToDate>
  <CharactersWithSpaces>9864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2022-08-17T08:34:23Z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