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0888-2021-Q-2022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杭州迈科瑞科技有限公司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杭州迈科瑞科技有限公司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浙江省杭州市萧山区所前镇所前中路1100号2幢</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浙江省杭州市萧山区所前镇所前中路1100号2幢</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周坤</w:t>
            </w:r>
            <w:bookmarkEnd w:id="10"/>
          </w:p>
        </w:tc>
        <w:tc>
          <w:tcPr>
            <w:tcW w:w="1313" w:type="dxa"/>
            <w:vAlign w:val="center"/>
          </w:tcPr>
          <w:p>
            <w:r>
              <w:rPr>
                <w:rFonts w:hint="eastAsia"/>
              </w:rPr>
              <w:t>电话.</w:t>
            </w:r>
          </w:p>
        </w:tc>
        <w:tc>
          <w:tcPr>
            <w:tcW w:w="2180" w:type="dxa"/>
            <w:vAlign w:val="center"/>
          </w:tcPr>
          <w:p>
            <w:bookmarkStart w:id="11" w:name="联系人电话"/>
            <w:r>
              <w:t>18767123981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赵建杰</w:t>
            </w:r>
            <w:bookmarkEnd w:id="13"/>
          </w:p>
        </w:tc>
        <w:tc>
          <w:tcPr>
            <w:tcW w:w="1313" w:type="dxa"/>
            <w:vAlign w:val="center"/>
          </w:tcPr>
          <w:p>
            <w:r>
              <w:rPr>
                <w:rFonts w:hint="eastAsia"/>
              </w:rPr>
              <w:t>管理者代表</w:t>
            </w:r>
          </w:p>
        </w:tc>
        <w:tc>
          <w:tcPr>
            <w:tcW w:w="2180" w:type="dxa"/>
          </w:tcPr>
          <w:p>
            <w:bookmarkStart w:id="14" w:name="管理者代表"/>
            <w:r>
              <w:t>周坤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default"/>
                <w:lang w:val="en-US" w:eastAsia="zh-CN"/>
              </w:rPr>
              <w:t>物料准备→激光切割、焊接、结构件加工（外协）→整机组装→测试合格→出库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312"/>
        <w:gridCol w:w="2421"/>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4"/>
            <w:tcMar>
              <w:left w:w="113" w:type="dxa"/>
            </w:tcMar>
          </w:tcPr>
          <w:p>
            <w:bookmarkStart w:id="15" w:name="审核日期"/>
            <w:r>
              <w:rPr>
                <w:rFonts w:hint="eastAsia"/>
              </w:rPr>
              <w:t>2022年08月04日 上午至2022年08月04日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4"/>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4"/>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4"/>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gridSpan w:val="2"/>
            <w:vMerge w:val="restart"/>
            <w:vAlign w:val="center"/>
          </w:tcPr>
          <w:p>
            <w:r>
              <w:rPr>
                <w:rFonts w:hint="eastAsia"/>
              </w:rPr>
              <w:t>审核范围</w:t>
            </w:r>
          </w:p>
        </w:tc>
        <w:tc>
          <w:tcPr>
            <w:tcW w:w="4304" w:type="dxa"/>
            <w:gridSpan w:val="2"/>
            <w:vMerge w:val="restart"/>
            <w:vAlign w:val="center"/>
          </w:tcPr>
          <w:p>
            <w:bookmarkStart w:id="29" w:name="审核范围"/>
            <w:r>
              <w:t>微反应器和微换热器的研发、制造</w:t>
            </w:r>
            <w:bookmarkEnd w:id="29"/>
          </w:p>
        </w:tc>
        <w:tc>
          <w:tcPr>
            <w:tcW w:w="3215" w:type="dxa"/>
            <w:vAlign w:val="center"/>
          </w:tcPr>
          <w:p>
            <w:r>
              <w:rPr>
                <w:rFonts w:hint="eastAsia"/>
              </w:rPr>
              <w:t>专业代码</w:t>
            </w:r>
            <w:bookmarkStart w:id="30" w:name="专业代码"/>
            <w:r>
              <w:rPr>
                <w:rFonts w:hint="eastAsia"/>
                <w:lang w:eastAsia="zh-CN"/>
              </w:rPr>
              <w:t>：</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gridSpan w:val="2"/>
            <w:vMerge w:val="continue"/>
            <w:vAlign w:val="center"/>
          </w:tcPr>
          <w:p/>
        </w:tc>
        <w:tc>
          <w:tcPr>
            <w:tcW w:w="4304" w:type="dxa"/>
            <w:gridSpan w:val="2"/>
            <w:vMerge w:val="continue"/>
            <w:vAlign w:val="center"/>
          </w:tcPr>
          <w:p/>
        </w:tc>
        <w:tc>
          <w:tcPr>
            <w:tcW w:w="3215" w:type="dxa"/>
            <w:vAlign w:val="center"/>
          </w:tcPr>
          <w:p>
            <w: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4"/>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gridSpan w:val="2"/>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gridSpan w:val="2"/>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9</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杭州迈科瑞科技有限公司</w:t>
            </w:r>
            <w:r>
              <w:rPr>
                <w:rFonts w:hint="eastAsia"/>
                <w:lang w:val="en-US" w:eastAsia="zh-CN"/>
              </w:rPr>
              <w:t>/</w:t>
            </w:r>
            <w:r>
              <w:t>浙江省杭州市萧山区所前镇所前中路1100号2幢</w:t>
            </w:r>
          </w:p>
        </w:tc>
        <w:tc>
          <w:tcPr>
            <w:tcW w:w="2267" w:type="dxa"/>
          </w:tcPr>
          <w:p>
            <w:pPr>
              <w:rPr>
                <w:lang w:val="de-DE" w:eastAsia="ja-JP"/>
              </w:rPr>
            </w:pPr>
            <w:r>
              <w:t>浙江省杭州市萧山区所前镇所前中路1100号2幢</w:t>
            </w:r>
          </w:p>
        </w:tc>
        <w:tc>
          <w:tcPr>
            <w:tcW w:w="571" w:type="dxa"/>
            <w:vAlign w:val="center"/>
          </w:tcPr>
          <w:p>
            <w:pPr>
              <w:rPr>
                <w:rFonts w:hint="default" w:eastAsia="宋体"/>
                <w:lang w:val="en-US" w:eastAsia="zh-CN"/>
              </w:rPr>
            </w:pPr>
            <w:r>
              <w:rPr>
                <w:rFonts w:hint="eastAsia"/>
                <w:lang w:val="en-US" w:eastAsia="zh-CN"/>
              </w:rPr>
              <w:t>14</w:t>
            </w:r>
          </w:p>
        </w:tc>
        <w:tc>
          <w:tcPr>
            <w:tcW w:w="2803" w:type="dxa"/>
            <w:vAlign w:val="center"/>
          </w:tcPr>
          <w:p>
            <w:pPr>
              <w:rPr>
                <w:lang w:eastAsia="ja-JP"/>
              </w:rPr>
            </w:pPr>
            <w:r>
              <w:t>微反应器和微换热器的研发、制造</w:t>
            </w: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tc>
        <w:tc>
          <w:tcPr>
            <w:tcW w:w="2179" w:type="dxa"/>
            <w:vAlign w:val="center"/>
          </w:tcPr>
          <w:p>
            <w: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管理者代表及联系人，由周坤更改为何强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182880</wp:posOffset>
                  </wp:positionH>
                  <wp:positionV relativeFrom="paragraph">
                    <wp:posOffset>344805</wp:posOffset>
                  </wp:positionV>
                  <wp:extent cx="738505" cy="534035"/>
                  <wp:effectExtent l="0" t="0" r="0" b="1460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738505" cy="53403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□检测水平□合同评审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 xml:space="preserve">□人员培训 </w:t>
            </w:r>
            <w:r>
              <w:rPr>
                <w:rFonts w:hint="eastAsia"/>
              </w:rPr>
              <w:sym w:font="Wingdings 2" w:char="00A3"/>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以质量求生存，以信誉求发展，满足顾客需求，创造一流产品。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运营规范缺失，管理不当的风险</w:t>
                  </w:r>
                </w:p>
              </w:tc>
              <w:tc>
                <w:tcPr>
                  <w:tcW w:w="3965" w:type="dxa"/>
                </w:tcPr>
                <w:p>
                  <w:pPr>
                    <w:shd w:val="clear" w:color="auto" w:fill="C7DAF1" w:themeFill="text2" w:themeFillTint="32"/>
                  </w:pPr>
                  <w:r>
                    <w:rPr>
                      <w:rFonts w:hint="eastAsia"/>
                    </w:rPr>
                    <w:t>公司每年度对总体的运营能力进行规划，综合考虑制定合适的运营规划。</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质量风险</w:t>
                  </w:r>
                </w:p>
              </w:tc>
              <w:tc>
                <w:tcPr>
                  <w:tcW w:w="3965" w:type="dxa"/>
                </w:tcPr>
                <w:p>
                  <w:pPr>
                    <w:shd w:val="clear" w:color="auto" w:fill="C7DAF1" w:themeFill="text2" w:themeFillTint="32"/>
                  </w:pPr>
                  <w:r>
                    <w:rPr>
                      <w:rFonts w:hint="eastAsia"/>
                    </w:rPr>
                    <w:t>建立和运行（过程和产品的监视和测量控制程序）、（外部提供产品、服务和过程控制程序）（不合格输出控制程序）</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市场与经营环境风险</w:t>
                  </w:r>
                </w:p>
              </w:tc>
              <w:tc>
                <w:tcPr>
                  <w:tcW w:w="3965" w:type="dxa"/>
                </w:tcPr>
                <w:p>
                  <w:pPr>
                    <w:shd w:val="clear" w:color="auto" w:fill="C7DAF1" w:themeFill="text2" w:themeFillTint="32"/>
                  </w:pPr>
                  <w:r>
                    <w:rPr>
                      <w:rFonts w:hint="eastAsia"/>
                    </w:rPr>
                    <w:t>公司参加行业会议，收集行业政策，分析市场环境，对变化及时识别并制定应对措施。</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r>
                    <w:rPr>
                      <w:rFonts w:hint="eastAsia"/>
                    </w:rPr>
                    <w:t>产品一次交付合格率≥95%</w:t>
                  </w:r>
                </w:p>
              </w:tc>
              <w:tc>
                <w:tcPr>
                  <w:tcW w:w="3136" w:type="dxa"/>
                  <w:shd w:val="clear" w:color="auto" w:fill="auto"/>
                  <w:vAlign w:val="center"/>
                </w:tcPr>
                <w:p>
                  <w:pPr>
                    <w:shd w:val="clear" w:color="auto" w:fill="C7DAF1" w:themeFill="text2" w:themeFillTint="32"/>
                    <w:rPr>
                      <w:lang w:val="en-GB"/>
                    </w:rPr>
                  </w:pPr>
                  <w:r>
                    <w:rPr>
                      <w:rFonts w:hint="eastAsia"/>
                      <w:color w:val="000000"/>
                      <w:szCs w:val="18"/>
                      <w:highlight w:val="none"/>
                    </w:rPr>
                    <w:t>产品通过率＝产品通过数÷产品总数×100%</w:t>
                  </w:r>
                </w:p>
              </w:tc>
              <w:tc>
                <w:tcPr>
                  <w:tcW w:w="1350" w:type="dxa"/>
                  <w:shd w:val="clear" w:color="auto" w:fill="auto"/>
                  <w:vAlign w:val="center"/>
                </w:tcPr>
                <w:p>
                  <w:pPr>
                    <w:shd w:val="clear" w:color="auto" w:fill="C7DAF1" w:themeFill="text2" w:themeFillTint="32"/>
                    <w:rPr>
                      <w:lang w:val="en-GB"/>
                    </w:rPr>
                  </w:pPr>
                  <w:r>
                    <w:rPr>
                      <w:rFonts w:hint="eastAsia"/>
                      <w:lang w:val="en-GB"/>
                    </w:rPr>
                    <w:t>设备制造部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r>
                    <w:rPr>
                      <w:rFonts w:hint="eastAsia"/>
                    </w:rPr>
                    <w:t>顾客满意率≥90%</w:t>
                  </w:r>
                </w:p>
              </w:tc>
              <w:tc>
                <w:tcPr>
                  <w:tcW w:w="3136" w:type="dxa"/>
                  <w:shd w:val="clear" w:color="auto" w:fill="auto"/>
                  <w:vAlign w:val="center"/>
                </w:tcPr>
                <w:p>
                  <w:pPr>
                    <w:shd w:val="clear" w:color="auto" w:fill="C7DAF1" w:themeFill="text2" w:themeFillTint="32"/>
                    <w:rPr>
                      <w:rFonts w:ascii="宋体" w:hAnsi="宋体"/>
                    </w:rPr>
                  </w:pPr>
                  <w:r>
                    <w:rPr>
                      <w:rFonts w:hint="eastAsia"/>
                      <w:color w:val="000000"/>
                      <w:szCs w:val="18"/>
                      <w:highlight w:val="none"/>
                    </w:rPr>
                    <w:t>满意率＝客户满意数÷发放客户总数×100%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95.8%</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 xml:space="preserve">□主要设备设施 </w:t>
            </w:r>
            <w:r>
              <w:rPr>
                <w:rFonts w:hint="eastAsia"/>
              </w:rPr>
              <w:sym w:font="Wingdings 2" w:char="0052"/>
            </w:r>
            <w:r>
              <w:rPr>
                <w:rFonts w:hint="eastAsia"/>
              </w:rPr>
              <w:t>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shd w:val="clear" w:color="auto" w:fill="C7DAF1" w:themeFill="text2" w:themeFillTint="32"/>
              <w:jc w:val="left"/>
              <w:rPr>
                <w:u w:val="single"/>
              </w:rPr>
            </w:pPr>
            <w:r>
              <w:rPr>
                <w:rFonts w:hint="eastAsia"/>
              </w:rPr>
              <w:t>主要生产设备有：</w:t>
            </w:r>
            <w:r>
              <w:rPr>
                <w:rFonts w:hint="eastAsia"/>
                <w:u w:val="single"/>
              </w:rPr>
              <w:t xml:space="preserve"> 反应器</w:t>
            </w:r>
            <w:r>
              <w:rPr>
                <w:rFonts w:hint="eastAsia"/>
                <w:u w:val="single"/>
                <w:lang w:eastAsia="zh-CN"/>
              </w:rPr>
              <w:t>、</w:t>
            </w:r>
            <w:r>
              <w:rPr>
                <w:rFonts w:hint="eastAsia"/>
                <w:u w:val="single"/>
              </w:rPr>
              <w:t>搅拌器</w:t>
            </w:r>
            <w:r>
              <w:rPr>
                <w:rFonts w:hint="eastAsia"/>
                <w:u w:val="single"/>
                <w:lang w:eastAsia="zh-CN"/>
              </w:rPr>
              <w:t>、</w:t>
            </w:r>
            <w:r>
              <w:rPr>
                <w:rFonts w:hint="eastAsia"/>
                <w:u w:val="single"/>
                <w:lang w:val="en-US" w:eastAsia="zh-CN"/>
              </w:rPr>
              <w:t>T型过滤器、手动球阀等</w:t>
            </w:r>
            <w:r>
              <w:rPr>
                <w:rFonts w:hint="eastAsia"/>
                <w:u w:val="single"/>
              </w:rPr>
              <w:t xml:space="preserve">    </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2" w:char="00A3"/>
            </w:r>
            <w:r>
              <w:rPr>
                <w:rFonts w:hint="eastAsia"/>
              </w:rPr>
              <w:t xml:space="preserve">自校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游标卡尺</w:t>
            </w:r>
            <w:r>
              <w:rPr>
                <w:rFonts w:hint="eastAsia"/>
                <w:u w:val="single"/>
                <w:lang w:eastAsia="zh-CN"/>
              </w:rPr>
              <w:t>、</w:t>
            </w:r>
            <w:r>
              <w:rPr>
                <w:rFonts w:hint="eastAsia"/>
                <w:u w:val="single"/>
              </w:rPr>
              <w:t>玻璃量筒</w:t>
            </w:r>
            <w:r>
              <w:rPr>
                <w:rFonts w:hint="eastAsia"/>
                <w:u w:val="single"/>
                <w:lang w:eastAsia="zh-CN"/>
              </w:rPr>
              <w:t>、</w:t>
            </w:r>
            <w:r>
              <w:rPr>
                <w:rFonts w:hint="eastAsia"/>
                <w:u w:val="single"/>
              </w:rPr>
              <w:t xml:space="preserve">扭力扳手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加工工艺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rFonts w:hint="default" w:eastAsia="宋体"/>
                <w:lang w:val="en-US" w:eastAsia="zh-CN"/>
              </w:rPr>
            </w:pPr>
            <w:r>
              <w:rPr>
                <w:rFonts w:hint="eastAsia"/>
              </w:rPr>
              <w:t>对国家规定持证上岗的人员资质进行了有效的管理。</w:t>
            </w:r>
            <w:r>
              <w:rPr>
                <w:rFonts w:hint="eastAsia"/>
                <w:lang w:eastAsia="zh-CN"/>
              </w:rPr>
              <w:t>——</w:t>
            </w:r>
            <w:r>
              <w:rPr>
                <w:rFonts w:hint="eastAsia"/>
                <w:lang w:val="en-US" w:eastAsia="zh-CN"/>
              </w:rPr>
              <w:t>不适用</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会议传达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标语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培训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文件发放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 xml:space="preserve"> </w:t>
            </w:r>
            <w:r>
              <w:rPr>
                <w:rFonts w:hint="eastAsia"/>
              </w:rPr>
              <w:sym w:font="Wingdings 2" w:char="0052"/>
            </w:r>
            <w:r>
              <w:rPr>
                <w:rFonts w:hint="eastAsia"/>
              </w:rPr>
              <w:t>体系文件基本受控，存在问题：</w:t>
            </w:r>
            <w:r>
              <w:rPr>
                <w:rFonts w:hint="eastAsia"/>
                <w:u w:val="single"/>
              </w:rPr>
              <w:t xml:space="preserve"> </w:t>
            </w:r>
            <w:r>
              <w:rPr>
                <w:rFonts w:hint="eastAsia"/>
                <w:u w:val="single"/>
                <w:lang w:val="en-US" w:eastAsia="zh-CN"/>
              </w:rPr>
              <w:t>部门管理制度无发放记录</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工艺流程图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rPr>
              <w:sym w:font="Wingdings 2" w:char="0052"/>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DBT微通道反应实验装置</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微反应器</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压力、流量、</w:t>
                  </w:r>
                  <w:r>
                    <w:rPr>
                      <w:rFonts w:hint="default" w:ascii="Times New Roman" w:hAnsi="Times New Roman" w:cs="Times New Roman"/>
                    </w:rPr>
                    <w:t>自动化联动</w:t>
                  </w:r>
                  <w:r>
                    <w:rPr>
                      <w:rFonts w:hint="eastAsia" w:ascii="Times New Roman" w:hAnsi="Times New Roman" w:cs="Times New Roman"/>
                      <w:lang w:val="en-US" w:eastAsia="zh-CN"/>
                    </w:rPr>
                    <w:t>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装配和测试；制定了装配和测试作业指导书；</w:t>
            </w:r>
            <w:r>
              <w:rPr>
                <w:rFonts w:hint="eastAsia"/>
                <w:u w:val="single"/>
              </w:rPr>
              <w:t xml:space="preserve">                                     </w:t>
            </w:r>
            <w:r>
              <w:rPr>
                <w:rFonts w:hint="eastAsia"/>
              </w:rPr>
              <w:t xml:space="preserve"> ，</w:t>
            </w:r>
            <w:r>
              <w:rPr>
                <w:rFonts w:hint="eastAsia" w:ascii="Wingdings" w:hAnsi="Wingdings"/>
                <w:lang w:eastAsia="zh-CN"/>
              </w:rPr>
              <w:sym w:font="Wingdings 2" w:char="0052"/>
            </w:r>
            <w:r>
              <w:rPr>
                <w:rFonts w:hint="eastAsia"/>
              </w:rPr>
              <w:t xml:space="preserve">进行了有效的确认  </w:t>
            </w:r>
            <w:r>
              <w:rPr>
                <w:rFonts w:hint="eastAsia" w:ascii="Wingdings" w:hAnsi="Wingdings"/>
                <w:lang w:val="en-US" w:eastAsia="zh-CN"/>
              </w:rPr>
              <w:t xml:space="preserve"> </w:t>
            </w:r>
            <w:r>
              <w:rPr>
                <w:rFonts w:hint="eastAsia"/>
              </w:rPr>
              <w:t>，说明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标签 </w:t>
            </w:r>
            <w:r>
              <w:rPr>
                <w:rFonts w:hint="eastAsia" w:ascii="Wingdings" w:hAnsi="Wingdings"/>
                <w:lang w:eastAsia="zh-CN"/>
              </w:rPr>
              <w:t>□</w:t>
            </w:r>
            <w:r>
              <w:rPr>
                <w:rFonts w:hint="eastAsia"/>
              </w:rPr>
              <w:t xml:space="preserve">标牌  </w:t>
            </w:r>
            <w:r>
              <w:rPr>
                <w:rFonts w:hint="eastAsia"/>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原材料 </w:t>
            </w:r>
            <w:r>
              <w:rPr>
                <w:rFonts w:hint="eastAsia" w:ascii="Wingdings" w:hAnsi="Wingdings"/>
                <w:lang w:eastAsia="zh-CN"/>
              </w:rPr>
              <w:t>□</w:t>
            </w:r>
            <w:r>
              <w:rPr>
                <w:rFonts w:hint="eastAsia"/>
              </w:rPr>
              <w:t xml:space="preserve"> 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 xml:space="preserve">顾客或外部供方财产控制：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三包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顾客调查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 </w:t>
            </w:r>
            <w:r>
              <w:rPr>
                <w:rFonts w:hint="eastAsia"/>
              </w:rPr>
              <w:sym w:font="Wingdings 2" w:char="0052"/>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A3"/>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bookmarkStart w:id="34" w:name="_GoBack"/>
      <w:bookmarkEnd w:id="34"/>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YTE0MGY2ZDNlMWRjNTY0YzZjODI1ZjhiNzdmYzQifQ=="/>
  </w:docVars>
  <w:rsids>
    <w:rsidRoot w:val="00000000"/>
    <w:rsid w:val="6B862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2022-08-04T05:41:39Z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