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主管领导：韩敏   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林兵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2022年08月04日</w:t>
            </w:r>
            <w:bookmarkEnd w:id="1"/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8.2/8.4/8.5.3/9.1.2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Cs w:val="21"/>
              </w:rPr>
              <w:t>按照公司领导要求，做好公司职能和岗位的具体确定，对从事与销售有关的管理、执行和验证人员规定其职责、权限及其相互关系，</w:t>
            </w:r>
            <w:r>
              <w:rPr>
                <w:rFonts w:hint="eastAsia"/>
                <w:color w:val="000000"/>
                <w:szCs w:val="21"/>
              </w:rPr>
              <w:t>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公司的</w:t>
            </w:r>
            <w:r>
              <w:rPr>
                <w:rFonts w:hint="eastAsia"/>
                <w:color w:val="000000"/>
                <w:szCs w:val="21"/>
              </w:rPr>
              <w:t>采购、销售、供应商管理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、相关方的沟通</w:t>
            </w: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满意度调查等</w:t>
            </w:r>
            <w:r>
              <w:rPr>
                <w:rFonts w:hint="eastAsia"/>
                <w:color w:val="000000"/>
                <w:szCs w:val="21"/>
              </w:rPr>
              <w:t>管理活动的实施与执行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以实现公司管理方针和管理目标。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综合部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的部门职责</w:t>
            </w:r>
            <w:r>
              <w:rPr>
                <w:rFonts w:hint="default" w:ascii="Times New Roman" w:hAnsi="Times New Roman" w:cs="Times New Roman"/>
                <w:szCs w:val="21"/>
              </w:rPr>
              <w:t>在手册中确定了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询问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Cs w:val="21"/>
              </w:rPr>
              <w:t>人员，基本清楚本部门职责。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6.2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公司对管理体系所需的相关职能、层次和过程设定管理目标。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综合部</w:t>
            </w:r>
            <w:r>
              <w:rPr>
                <w:rFonts w:hint="default" w:ascii="Times New Roman" w:hAnsi="Times New Roman" w:cs="Times New Roman"/>
                <w:szCs w:val="21"/>
              </w:rPr>
              <w:t>涉及的目标及实现情况是：</w:t>
            </w:r>
          </w:p>
          <w:tbl>
            <w:tblPr>
              <w:tblStyle w:val="6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9"/>
              <w:gridCol w:w="4460"/>
              <w:gridCol w:w="16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3" w:hRule="atLeast"/>
              </w:trPr>
              <w:tc>
                <w:tcPr>
                  <w:tcW w:w="304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分目标</w:t>
                  </w:r>
                </w:p>
              </w:tc>
              <w:tc>
                <w:tcPr>
                  <w:tcW w:w="44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考核方法</w:t>
                  </w:r>
                </w:p>
              </w:tc>
              <w:tc>
                <w:tcPr>
                  <w:tcW w:w="161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80" w:beforeLines="20" w:after="80" w:afterLines="20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考核结果</w:t>
                  </w: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-6月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297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1.文件发放及时率100%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及时率＝发放及时数÷文件总发放数×100%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7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2.员工培训计划实施率100%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培训率＝培训人次÷培训总人数×100%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7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.合同履约率100%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履约率＝履约总数÷合同总数×100%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11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4</w:t>
                  </w: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.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顾客满意率≥90%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满意率＝客户满意数÷发放客户总数×100%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firstLine="180" w:firstLineChars="100"/>
                    <w:jc w:val="center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9</w:t>
                  </w:r>
                  <w:r>
                    <w:rPr>
                      <w:rFonts w:ascii="黑体" w:hAnsi="黑体" w:eastAsia="黑体" w:cs="黑体"/>
                      <w:sz w:val="18"/>
                      <w:szCs w:val="18"/>
                    </w:rPr>
                    <w:t>5.8</w:t>
                  </w:r>
                  <w:r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1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.客户投诉率＜5%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投诉率＝客户投诉数÷客户总数×100%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7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.售后处理及时率100%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售后处理及时率＝按期处理数÷应处理总数×100%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.采购产品合格率≥98%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合格率＝采购合格数量÷采购总数×100%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1" w:hRule="atLeast"/>
              </w:trPr>
              <w:tc>
                <w:tcPr>
                  <w:tcW w:w="3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.供方评定率100%</w:t>
                  </w:r>
                </w:p>
              </w:tc>
              <w:tc>
                <w:tcPr>
                  <w:tcW w:w="4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评定率＝评定供方数量÷供方总数×100%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firstLine="180" w:firstLineChars="100"/>
                    <w:jc w:val="center"/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</w:tbl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目标可测量，与公司管理方针一致。 根据</w:t>
            </w:r>
            <w:r>
              <w:rPr>
                <w:rFonts w:hint="eastAsia" w:cs="Times New Roman"/>
                <w:szCs w:val="21"/>
                <w:lang w:val="en-US" w:eastAsia="zh-CN"/>
              </w:rPr>
              <w:t>2022年6月30日</w:t>
            </w:r>
            <w:r>
              <w:rPr>
                <w:rFonts w:hint="default" w:ascii="Times New Roman" w:hAnsi="Times New Roman" w:cs="Times New Roman"/>
                <w:szCs w:val="21"/>
              </w:rPr>
              <w:t>统计结果，目标均已完成。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8.2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负责就合同或订单的处理，合同的评审，向顾客提供符合要求的服务。每年向顾客发放满意度调查表等形式了解顾客的需求和期望。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公司编制的管理手册中规定了与服务有关要求的确定、评审以及更改的职责和工作流程要求。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顾客明确规定的要求：即有销售服务本身的质量要求也包括后续活动的要求。顾客没有明确规定，但预期或规定用途所必要的要求。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公司承接业务的方式主要是：通过与顾客签订合同，公司按顾客要求组织服务，并以传真等方式进行沟通、确认，并对销售要求等给予了明确。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公司收到合同后，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由综合部、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设备制造部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工艺开发部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技术品管部进行合同评审，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审批同意后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，即完成合同评审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经询问韩敏经理，近一年增加新的业务合同客户有中石化天津公司。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抽查：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中石化天津公司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签订设备委托制造技术协议：DBT微通道反应实验装置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产品装置概述（产品要求）、部件清单及参数要求、相关资料交付、安装高度及验收、质量保证及售后服务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提供了合同评审表，评审时间2022.11.10，对顾客要求交期等内容进行评审，无合同变更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交付时间为2022.6.25。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与顾客的沟通由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负责，方法：通过手机、传真、微信等直接与固定客户保持日常联系，其内容包括：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顾客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要求、价格、后续服务等。公司合同</w:t>
            </w: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变更，由综合部销售人员填写合同变更评审表，内容包含更改的合同号，更改日期，更改原因及给改内容，评审结果，应通知的部门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外部提供过程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:8.4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公司采购产品主要为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无缝管及焊管、接头针阀类、铝型材及配件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等。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制定了《供方绩效准则》对供方的资质、能力、绩效进行评价。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已编制形成《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供方名录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共有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家合格供方。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合格供方：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无缝管及焊管供方---浙江义腾特种钢管有限公司：202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供方调查评价表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》一份，对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供方的企业概况、生产与设备能力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供方有否通过质量管理体系认证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产品认证、是否技术要求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评审结论：建议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列入合格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目录。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查有营业执照、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证书。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接头，针阀类供方----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依乔流体技术（上海）有限公司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供方调查评价表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一份，对供方的企业概况、生产与设备能力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供方有否通过质量管理体系认证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产品认证、是否技术要求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等进行评价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。评审结论：建议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列入合格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目录。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查有营业执照、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质量管理体系认证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证书，收集产品检验报告。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冷凝器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供方---无锡智恩铝型材有限公司等：202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日进行供方的评价，形成《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供方调查评价表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》一份，对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供方的企业概况、生产与设备能力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供方有否通过质量管理体系认证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产品认证、是否技术要求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评审结论：建议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列入合格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目录。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查有营业执照、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证书、产品检测报告。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lang w:val="en-US" w:eastAsia="zh-CN"/>
              </w:rPr>
              <w:t>公司的外包过程为：</w:t>
            </w:r>
            <w:r>
              <w:rPr>
                <w:rFonts w:hint="eastAsia" w:ascii="宋体" w:hAnsi="宋体"/>
                <w:color w:val="000000"/>
                <w:lang w:eastAsia="zh-CN"/>
              </w:rPr>
              <w:t>外包过程:焊接、激光切割、结构件加工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4"/>
                <w:highlight w:val="none"/>
                <w:lang w:val="en-US" w:eastAsia="zh-CN"/>
              </w:rPr>
              <w:t>抽查外包情况：</w:t>
            </w:r>
            <w:r>
              <w:rPr>
                <w:rFonts w:hint="eastAsia" w:cs="Times New Roman"/>
                <w:szCs w:val="24"/>
                <w:highlight w:val="none"/>
                <w:lang w:val="en-US" w:eastAsia="zh-CN"/>
              </w:rPr>
              <w:t>2022年3月16日与北京航天金翔设备有限公司签订了产品研制加工合同，产品名称316L不锈钢真空扩散链接，包括了焊接、激光切割、结构件加工。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采购产品与供方签订采购合同。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产品验收主要查看数量、外观、检查提供的产品检测报告等。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顾客或外部供方的财产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顾客或外部供方的财产包括：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委托加工产品技术参数要求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等信息，由部门专门人员负责管理，分类登记放置。未发生损坏丢失等现象。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公司已建立和保持了《顾客满意程度测量控制程序》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制定了《顾客满意度评定准则》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公司采取对主要顾客进行满意度调查的形式，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对杭州纽龙生物科技、常州市金研履带科技、中石化天津分公司等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共发出3份《顾客满意度调查表》，有效回收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3份，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回收率100%。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调查内容有：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产品质量水平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产品交付能力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售后服务质量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产品总体价格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等，查阅《顾客满意程度调查表》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调查表满分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100分计算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。查《顾客满意程度调查表》，记录真实有效。提供《顾客满意度统计分析表》，顾客满意率达到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，继续保持质量的稳定，加大服务的力度，提高劳动生产率，减少浪费，降低消耗，以质优价廉的产品，更好地服务顾客，满足顾客的需求。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调查未发现有顾客投诉。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bookmarkStart w:id="2" w:name="_GoBack"/>
            <w:bookmarkEnd w:id="2"/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BF0C3"/>
    <w:multiLevelType w:val="singleLevel"/>
    <w:tmpl w:val="F03BF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26E02F8"/>
    <w:rsid w:val="3EF35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/>
    </w:pPr>
    <w:rPr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2022-08-04T06:17:00Z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2052-11.1.0.11875</vt:lpwstr>
  </property>
</Properties>
</file>