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sz w:val="32"/>
        </w:rPr>
      </w:pPr>
      <w:r>
        <w:rPr>
          <w:rFonts w:hint="eastAsia" w:asciiTheme="majorEastAsia" w:hAnsiTheme="majorEastAsia" w:eastAsiaTheme="majorEastAsia" w:cstheme="majorEastAsia"/>
          <w:sz w:val="32"/>
        </w:rPr>
        <w:t>观 察 项（建议项） 报 告</w:t>
      </w:r>
    </w:p>
    <w:tbl>
      <w:tblPr>
        <w:tblStyle w:val="7"/>
        <w:tblW w:w="9923"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00"/>
        <w:gridCol w:w="943"/>
        <w:gridCol w:w="6047"/>
        <w:gridCol w:w="203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43" w:type="dxa"/>
            <w:gridSpan w:val="2"/>
            <w:tcBorders>
              <w:right w:val="single" w:color="auto" w:sz="4" w:space="0"/>
            </w:tcBorders>
            <w:vAlign w:val="center"/>
          </w:tcPr>
          <w:p>
            <w:pPr>
              <w:rPr>
                <w:b/>
                <w:szCs w:val="21"/>
              </w:rPr>
            </w:pPr>
            <w:r>
              <w:rPr>
                <w:rFonts w:hint="eastAsia" w:ascii="方正仿宋简体" w:eastAsia="方正仿宋简体"/>
                <w:b/>
              </w:rPr>
              <w:t>受审核方</w:t>
            </w:r>
          </w:p>
        </w:tc>
        <w:tc>
          <w:tcPr>
            <w:tcW w:w="8080" w:type="dxa"/>
            <w:gridSpan w:val="2"/>
            <w:tcBorders>
              <w:left w:val="single" w:color="auto" w:sz="4" w:space="0"/>
            </w:tcBorders>
          </w:tcPr>
          <w:p>
            <w:pPr>
              <w:spacing w:before="120" w:line="360" w:lineRule="auto"/>
              <w:rPr>
                <w:b/>
                <w:szCs w:val="21"/>
              </w:rPr>
            </w:pPr>
            <w:bookmarkStart w:id="0" w:name="组织名称"/>
            <w:r>
              <w:rPr>
                <w:b/>
                <w:szCs w:val="21"/>
              </w:rPr>
              <w:t>浙江利珉环境科技有限公司</w:t>
            </w:r>
            <w:bookmarkEnd w:id="0"/>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43" w:type="dxa"/>
            <w:gridSpan w:val="2"/>
            <w:tcBorders>
              <w:right w:val="single" w:color="auto" w:sz="4" w:space="0"/>
            </w:tcBorders>
            <w:vAlign w:val="center"/>
          </w:tcPr>
          <w:p>
            <w:r>
              <w:rPr>
                <w:rFonts w:hint="eastAsia" w:ascii="方正仿宋简体" w:eastAsia="方正仿宋简体"/>
                <w:b/>
              </w:rPr>
              <w:t>审核领域及类型</w:t>
            </w:r>
          </w:p>
        </w:tc>
        <w:tc>
          <w:tcPr>
            <w:tcW w:w="8080" w:type="dxa"/>
            <w:gridSpan w:val="2"/>
            <w:tcBorders>
              <w:left w:val="single" w:color="auto" w:sz="4" w:space="0"/>
            </w:tcBorders>
            <w:vAlign w:val="center"/>
          </w:tcPr>
          <w:p>
            <w:pPr>
              <w:spacing w:line="360" w:lineRule="auto"/>
              <w:rPr>
                <w:rFonts w:ascii="Arial" w:hAnsi="Arial" w:eastAsia="Arial Unicode MS" w:cs="Arial"/>
                <w:b/>
                <w:sz w:val="30"/>
                <w:szCs w:val="30"/>
              </w:rPr>
            </w:pPr>
            <w:bookmarkStart w:id="1" w:name="Q勾选"/>
            <w:r>
              <w:rPr>
                <w:rFonts w:hint="eastAsia"/>
                <w:b/>
                <w:szCs w:val="21"/>
              </w:rPr>
              <w:t>□</w:t>
            </w:r>
            <w:bookmarkEnd w:id="1"/>
            <w:r>
              <w:rPr>
                <w:b/>
                <w:spacing w:val="-2"/>
                <w:szCs w:val="21"/>
              </w:rPr>
              <w:t>QMS</w:t>
            </w:r>
            <w:bookmarkStart w:id="2" w:name="QJ勾选"/>
            <w:r>
              <w:rPr>
                <w:rFonts w:hint="eastAsia"/>
                <w:b/>
                <w:szCs w:val="21"/>
              </w:rPr>
              <w:t>□</w:t>
            </w:r>
            <w:bookmarkEnd w:id="2"/>
            <w:r>
              <w:rPr>
                <w:rFonts w:hint="eastAsia"/>
                <w:b/>
                <w:spacing w:val="-2"/>
                <w:szCs w:val="21"/>
              </w:rPr>
              <w:t>5</w:t>
            </w:r>
            <w:r>
              <w:rPr>
                <w:b/>
                <w:spacing w:val="-2"/>
                <w:szCs w:val="21"/>
              </w:rPr>
              <w:t>0430</w:t>
            </w:r>
            <w:bookmarkStart w:id="3" w:name="E勾选"/>
            <w:r>
              <w:rPr>
                <w:rFonts w:hint="eastAsia"/>
                <w:b/>
                <w:szCs w:val="21"/>
              </w:rPr>
              <w:t>□</w:t>
            </w:r>
            <w:bookmarkEnd w:id="3"/>
            <w:r>
              <w:rPr>
                <w:b/>
                <w:spacing w:val="-2"/>
                <w:szCs w:val="21"/>
              </w:rPr>
              <w:t>EMS</w:t>
            </w:r>
            <w:bookmarkStart w:id="4" w:name="S勾选"/>
            <w:r>
              <w:rPr>
                <w:rFonts w:hint="eastAsia"/>
                <w:b/>
                <w:szCs w:val="21"/>
              </w:rPr>
              <w:t>□</w:t>
            </w:r>
            <w:bookmarkEnd w:id="4"/>
            <w:r>
              <w:rPr>
                <w:b/>
                <w:spacing w:val="-2"/>
                <w:szCs w:val="21"/>
              </w:rPr>
              <w:t>OHSMS</w:t>
            </w:r>
            <w:bookmarkStart w:id="12" w:name="_GoBack"/>
            <w:bookmarkEnd w:id="12"/>
            <w:r>
              <w:rPr>
                <w:rFonts w:hint="eastAsia"/>
                <w:b/>
                <w:szCs w:val="21"/>
                <w:lang w:eastAsia="zh-CN"/>
              </w:rPr>
              <w:t>☑</w:t>
            </w:r>
            <w:r>
              <w:rPr>
                <w:b/>
                <w:spacing w:val="-2"/>
                <w:szCs w:val="21"/>
              </w:rPr>
              <w:t>E</w:t>
            </w:r>
            <w:r>
              <w:rPr>
                <w:rFonts w:hint="eastAsia"/>
                <w:b/>
                <w:spacing w:val="-2"/>
                <w:szCs w:val="21"/>
              </w:rPr>
              <w:t>n</w:t>
            </w:r>
            <w:r>
              <w:rPr>
                <w:b/>
                <w:spacing w:val="-2"/>
                <w:szCs w:val="21"/>
              </w:rPr>
              <w:t>MS</w:t>
            </w:r>
            <w:bookmarkStart w:id="5" w:name="F勾选"/>
            <w:r>
              <w:rPr>
                <w:rFonts w:hint="eastAsia" w:cs="宋体"/>
                <w:b/>
                <w:szCs w:val="21"/>
              </w:rPr>
              <w:t>□</w:t>
            </w:r>
            <w:bookmarkEnd w:id="5"/>
            <w:r>
              <w:rPr>
                <w:rFonts w:hint="eastAsia" w:ascii="宋体" w:hAnsi="宋体"/>
                <w:szCs w:val="21"/>
              </w:rPr>
              <w:t xml:space="preserve">FSMS </w:t>
            </w:r>
            <w:bookmarkStart w:id="6" w:name="H勾选"/>
            <w:r>
              <w:rPr>
                <w:rFonts w:hint="eastAsia" w:cs="宋体"/>
                <w:b/>
                <w:szCs w:val="21"/>
              </w:rPr>
              <w:t>□</w:t>
            </w:r>
            <w:bookmarkEnd w:id="6"/>
            <w:r>
              <w:rPr>
                <w:rFonts w:hint="eastAsia" w:ascii="宋体" w:hAnsi="宋体"/>
                <w:szCs w:val="21"/>
              </w:rPr>
              <w:t>HACCP</w:t>
            </w:r>
          </w:p>
          <w:p>
            <w:bookmarkStart w:id="7" w:name="初审"/>
            <w:r>
              <w:rPr>
                <w:rFonts w:hint="eastAsia"/>
                <w:b/>
                <w:szCs w:val="21"/>
              </w:rPr>
              <w:t>■</w:t>
            </w:r>
            <w:bookmarkEnd w:id="7"/>
            <w:r>
              <w:rPr>
                <w:rFonts w:hint="eastAsia"/>
                <w:b/>
                <w:szCs w:val="21"/>
              </w:rPr>
              <w:t>初审</w:t>
            </w:r>
            <w:r>
              <w:rPr>
                <w:rFonts w:hint="eastAsia"/>
                <w:b/>
                <w:szCs w:val="21"/>
                <w:lang w:eastAsia="zh-CN"/>
              </w:rPr>
              <w:t>☑</w:t>
            </w:r>
            <w:r>
              <w:rPr>
                <w:rFonts w:hint="eastAsia"/>
                <w:b/>
                <w:szCs w:val="21"/>
              </w:rPr>
              <w:t xml:space="preserve">第( </w:t>
            </w:r>
            <w:r>
              <w:rPr>
                <w:rFonts w:hint="eastAsia"/>
                <w:b/>
                <w:szCs w:val="21"/>
                <w:lang w:val="en-US" w:eastAsia="zh-CN"/>
              </w:rPr>
              <w:t>二</w:t>
            </w:r>
            <w:r>
              <w:rPr>
                <w:rFonts w:hint="eastAsia"/>
                <w:b/>
                <w:szCs w:val="21"/>
              </w:rPr>
              <w:t xml:space="preserve"> )阶段审核</w:t>
            </w:r>
            <w:bookmarkStart w:id="8" w:name="再认证勾选"/>
            <w:r>
              <w:rPr>
                <w:rFonts w:hint="eastAsia"/>
                <w:b/>
                <w:szCs w:val="21"/>
              </w:rPr>
              <w:t>□</w:t>
            </w:r>
            <w:bookmarkEnd w:id="8"/>
            <w:r>
              <w:rPr>
                <w:rFonts w:hint="eastAsia"/>
                <w:b/>
                <w:szCs w:val="21"/>
              </w:rPr>
              <w:t>再认证</w:t>
            </w:r>
            <w:bookmarkStart w:id="9" w:name="监督勾选"/>
            <w:r>
              <w:rPr>
                <w:rFonts w:hint="eastAsia"/>
                <w:b/>
                <w:szCs w:val="21"/>
              </w:rPr>
              <w:t>□</w:t>
            </w:r>
            <w:bookmarkEnd w:id="9"/>
            <w:r>
              <w:rPr>
                <w:rFonts w:hint="eastAsia"/>
                <w:b/>
                <w:szCs w:val="21"/>
              </w:rPr>
              <w:t>监督（</w:t>
            </w:r>
            <w:bookmarkStart w:id="10" w:name="监督次数"/>
            <w:bookmarkEnd w:id="10"/>
            <w:r>
              <w:rPr>
                <w:rFonts w:hint="eastAsia"/>
                <w:b/>
                <w:szCs w:val="21"/>
              </w:rPr>
              <w:t>）次□证书转换</w:t>
            </w:r>
            <w:bookmarkStart w:id="11" w:name="特殊审核勾选"/>
            <w:r>
              <w:rPr>
                <w:rFonts w:hint="eastAsia"/>
                <w:b/>
                <w:szCs w:val="21"/>
              </w:rPr>
              <w:t>□</w:t>
            </w:r>
            <w:bookmarkEnd w:id="11"/>
            <w:r>
              <w:rPr>
                <w:rFonts w:hint="eastAsia"/>
                <w:b/>
                <w:szCs w:val="21"/>
              </w:rPr>
              <w:t>特殊审核□其他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900" w:type="dxa"/>
            <w:tcBorders>
              <w:right w:val="single" w:color="auto" w:sz="4" w:space="0"/>
            </w:tcBorders>
            <w:vAlign w:val="center"/>
          </w:tcPr>
          <w:p>
            <w:pPr>
              <w:jc w:val="center"/>
              <w:rPr>
                <w:rFonts w:ascii="方正仿宋简体" w:eastAsia="方正仿宋简体"/>
                <w:b/>
                <w:szCs w:val="21"/>
              </w:rPr>
            </w:pPr>
            <w:r>
              <w:rPr>
                <w:rFonts w:hint="eastAsia" w:ascii="方正仿宋简体" w:eastAsia="方正仿宋简体"/>
                <w:b/>
                <w:szCs w:val="21"/>
              </w:rPr>
              <w:t>序号</w:t>
            </w:r>
          </w:p>
        </w:tc>
        <w:tc>
          <w:tcPr>
            <w:tcW w:w="6990" w:type="dxa"/>
            <w:gridSpan w:val="2"/>
            <w:tcBorders>
              <w:left w:val="single" w:color="auto" w:sz="4" w:space="0"/>
              <w:right w:val="single" w:color="auto" w:sz="4" w:space="0"/>
            </w:tcBorders>
            <w:vAlign w:val="center"/>
          </w:tcPr>
          <w:p>
            <w:pPr>
              <w:jc w:val="center"/>
              <w:rPr>
                <w:rFonts w:ascii="方正仿宋简体" w:eastAsia="方正仿宋简体"/>
                <w:b/>
                <w:szCs w:val="21"/>
              </w:rPr>
            </w:pPr>
            <w:r>
              <w:rPr>
                <w:rFonts w:hint="eastAsia" w:ascii="方正仿宋简体" w:eastAsia="方正仿宋简体"/>
                <w:b/>
                <w:szCs w:val="21"/>
              </w:rPr>
              <w:t>观察项（建议项）描述</w:t>
            </w:r>
          </w:p>
        </w:tc>
        <w:tc>
          <w:tcPr>
            <w:tcW w:w="2033" w:type="dxa"/>
            <w:tcBorders>
              <w:left w:val="single" w:color="auto" w:sz="4" w:space="0"/>
            </w:tcBorders>
            <w:vAlign w:val="center"/>
          </w:tcPr>
          <w:p>
            <w:pPr>
              <w:jc w:val="center"/>
              <w:rPr>
                <w:rFonts w:ascii="方正仿宋简体" w:eastAsia="方正仿宋简体"/>
                <w:b/>
                <w:szCs w:val="21"/>
              </w:rPr>
            </w:pPr>
            <w:r>
              <w:rPr>
                <w:rFonts w:hint="eastAsia" w:ascii="方正仿宋简体" w:eastAsia="方正仿宋简体"/>
                <w:b/>
                <w:szCs w:val="21"/>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01" w:hRule="exact"/>
          <w:jc w:val="center"/>
        </w:trPr>
        <w:tc>
          <w:tcPr>
            <w:tcW w:w="900" w:type="dxa"/>
            <w:tcBorders>
              <w:right w:val="single" w:color="auto" w:sz="4" w:space="0"/>
            </w:tcBorders>
            <w:vAlign w:val="center"/>
          </w:tcPr>
          <w:p>
            <w:pPr>
              <w:jc w:val="both"/>
              <w:rPr>
                <w:rFonts w:hint="eastAsia" w:ascii="方正仿宋简体" w:eastAsia="方正仿宋简体"/>
                <w:b/>
                <w:lang w:val="en-US" w:eastAsia="zh-CN"/>
              </w:rPr>
            </w:pPr>
            <w:r>
              <w:rPr>
                <w:rFonts w:hint="eastAsia" w:ascii="方正仿宋简体" w:eastAsia="方正仿宋简体"/>
                <w:b/>
                <w:lang w:val="en-US" w:eastAsia="zh-CN"/>
              </w:rPr>
              <w:t>1</w:t>
            </w:r>
          </w:p>
        </w:tc>
        <w:tc>
          <w:tcPr>
            <w:tcW w:w="6990" w:type="dxa"/>
            <w:gridSpan w:val="2"/>
            <w:tcBorders>
              <w:left w:val="single" w:color="auto" w:sz="4" w:space="0"/>
              <w:right w:val="single" w:color="auto" w:sz="4" w:space="0"/>
            </w:tcBorders>
            <w:vAlign w:val="center"/>
          </w:tcPr>
          <w:p>
            <w:pPr>
              <w:jc w:val="both"/>
              <w:rPr>
                <w:rFonts w:hint="default" w:ascii="方正仿宋简体" w:eastAsia="方正仿宋简体"/>
                <w:b/>
                <w:lang w:val="en-US" w:eastAsia="zh-CN"/>
              </w:rPr>
            </w:pPr>
            <w:r>
              <w:rPr>
                <w:rFonts w:hint="eastAsia"/>
                <w:lang w:val="en-US" w:eastAsia="zh-CN"/>
              </w:rPr>
              <w:t>企业只设定了公司层面的目标，无相关层次的目标，不符合GB/T23331-2022标准6.2“组织应针对其相关职能和层次建立目标，组织应建立能源指标”的要求。</w:t>
            </w:r>
          </w:p>
        </w:tc>
        <w:tc>
          <w:tcPr>
            <w:tcW w:w="2033" w:type="dxa"/>
            <w:tcBorders>
              <w:left w:val="single" w:color="auto" w:sz="4" w:space="0"/>
            </w:tcBorders>
            <w:vAlign w:val="center"/>
          </w:tcPr>
          <w:p>
            <w:pPr>
              <w:jc w:val="center"/>
              <w:rPr>
                <w:rFonts w:ascii="方正仿宋简体" w:eastAsia="方正仿宋简体"/>
                <w:b/>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900" w:type="dxa"/>
            <w:tcBorders>
              <w:right w:val="single" w:color="auto" w:sz="4" w:space="0"/>
            </w:tcBorders>
            <w:vAlign w:val="center"/>
          </w:tcPr>
          <w:p>
            <w:pPr>
              <w:rPr>
                <w:rFonts w:hint="eastAsia" w:eastAsia="宋体"/>
                <w:lang w:val="en-US" w:eastAsia="zh-CN"/>
              </w:rPr>
            </w:pPr>
            <w:r>
              <w:rPr>
                <w:rFonts w:hint="eastAsia"/>
                <w:lang w:val="en-US" w:eastAsia="zh-CN"/>
              </w:rPr>
              <w:t>2</w:t>
            </w:r>
          </w:p>
        </w:tc>
        <w:tc>
          <w:tcPr>
            <w:tcW w:w="6990" w:type="dxa"/>
            <w:gridSpan w:val="2"/>
            <w:tcBorders>
              <w:left w:val="single" w:color="auto" w:sz="4" w:space="0"/>
              <w:right w:val="single" w:color="auto" w:sz="4" w:space="0"/>
            </w:tcBorders>
            <w:vAlign w:val="center"/>
          </w:tcPr>
          <w:p>
            <w:pPr>
              <w:rPr>
                <w:rFonts w:hint="default" w:eastAsia="宋体"/>
                <w:lang w:val="en-US" w:eastAsia="zh-CN"/>
              </w:rPr>
            </w:pPr>
            <w:r>
              <w:rPr>
                <w:rFonts w:hint="eastAsia"/>
                <w:lang w:val="en-US" w:eastAsia="zh-CN"/>
              </w:rPr>
              <w:t>能源管理体系的主责部门不明确。总部能耗指标未完成无处落实</w:t>
            </w:r>
          </w:p>
        </w:tc>
        <w:tc>
          <w:tcPr>
            <w:tcW w:w="2033" w:type="dxa"/>
            <w:tcBorders>
              <w:left w:val="single" w:color="auto" w:sz="4" w:space="0"/>
            </w:tcBorders>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65" w:hRule="exact"/>
          <w:jc w:val="center"/>
        </w:trPr>
        <w:tc>
          <w:tcPr>
            <w:tcW w:w="900" w:type="dxa"/>
            <w:tcBorders>
              <w:right w:val="single" w:color="auto" w:sz="4" w:space="0"/>
            </w:tcBorders>
            <w:vAlign w:val="center"/>
          </w:tcPr>
          <w:p>
            <w:pPr>
              <w:rPr>
                <w:rFonts w:hint="eastAsia" w:eastAsia="宋体"/>
                <w:lang w:val="en-US" w:eastAsia="zh-CN"/>
              </w:rPr>
            </w:pPr>
            <w:r>
              <w:rPr>
                <w:rFonts w:hint="eastAsia"/>
                <w:lang w:val="en-US" w:eastAsia="zh-CN"/>
              </w:rPr>
              <w:t>3</w:t>
            </w:r>
          </w:p>
        </w:tc>
        <w:tc>
          <w:tcPr>
            <w:tcW w:w="6990" w:type="dxa"/>
            <w:gridSpan w:val="2"/>
            <w:tcBorders>
              <w:left w:val="single" w:color="auto" w:sz="4" w:space="0"/>
              <w:right w:val="single" w:color="auto" w:sz="4" w:space="0"/>
            </w:tcBorders>
            <w:vAlign w:val="center"/>
          </w:tcPr>
          <w:p>
            <w:pPr>
              <w:rPr>
                <w:rFonts w:hint="default" w:eastAsia="宋体"/>
                <w:lang w:val="en-US" w:eastAsia="zh-CN"/>
              </w:rPr>
            </w:pPr>
            <w:r>
              <w:rPr>
                <w:rFonts w:hint="eastAsia"/>
                <w:lang w:val="en-US" w:eastAsia="zh-CN"/>
              </w:rPr>
              <w:t>项目部(总部）2021年的能耗指标未完成，未提供原因分析及整改措施，2021年和2022年1-6月总部的指标未完成，也未提供原因分析及整改措施。</w:t>
            </w:r>
          </w:p>
        </w:tc>
        <w:tc>
          <w:tcPr>
            <w:tcW w:w="2033" w:type="dxa"/>
            <w:tcBorders>
              <w:left w:val="single" w:color="auto" w:sz="4" w:space="0"/>
            </w:tcBorders>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6" w:hRule="exact"/>
          <w:jc w:val="center"/>
        </w:trPr>
        <w:tc>
          <w:tcPr>
            <w:tcW w:w="900" w:type="dxa"/>
            <w:tcBorders>
              <w:right w:val="single" w:color="auto" w:sz="4" w:space="0"/>
            </w:tcBorders>
            <w:vAlign w:val="center"/>
          </w:tcPr>
          <w:p>
            <w:pPr>
              <w:rPr>
                <w:rFonts w:hint="eastAsia" w:eastAsia="宋体"/>
                <w:lang w:val="en-US" w:eastAsia="zh-CN"/>
              </w:rPr>
            </w:pPr>
            <w:r>
              <w:rPr>
                <w:rFonts w:hint="eastAsia"/>
                <w:lang w:val="en-US" w:eastAsia="zh-CN"/>
              </w:rPr>
              <w:t>4</w:t>
            </w:r>
          </w:p>
        </w:tc>
        <w:tc>
          <w:tcPr>
            <w:tcW w:w="6990" w:type="dxa"/>
            <w:gridSpan w:val="2"/>
            <w:tcBorders>
              <w:left w:val="single" w:color="auto" w:sz="4" w:space="0"/>
              <w:right w:val="single" w:color="auto" w:sz="4" w:space="0"/>
            </w:tcBorders>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textAlignment w:val="auto"/>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2021年能源基准：总部单位面积能耗1.83kgce/㎡a和项目部单位面积能耗0.063kgce/㎡a;2022年能源基准：总部单位面积能耗2.46kgce/㎡a和项目部单位面积能耗0.1125kgce/㎡a;由数据看出能源基准发生变化未提供对能源基准进行调整的文件化证据。</w:t>
            </w:r>
          </w:p>
        </w:tc>
        <w:tc>
          <w:tcPr>
            <w:tcW w:w="2033" w:type="dxa"/>
            <w:tcBorders>
              <w:left w:val="single" w:color="auto" w:sz="4" w:space="0"/>
            </w:tcBorders>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900" w:type="dxa"/>
            <w:tcBorders>
              <w:right w:val="single" w:color="auto" w:sz="4" w:space="0"/>
            </w:tcBorders>
            <w:vAlign w:val="center"/>
          </w:tcPr>
          <w:p>
            <w:pPr>
              <w:rPr>
                <w:rFonts w:hint="eastAsia" w:ascii="Times New Roman" w:hAnsi="Times New Roman" w:cs="Times New Roman"/>
                <w:lang w:val="en-US" w:eastAsia="zh-CN"/>
              </w:rPr>
            </w:pPr>
            <w:r>
              <w:rPr>
                <w:rFonts w:hint="eastAsia" w:ascii="Times New Roman" w:hAnsi="Times New Roman" w:cs="Times New Roman"/>
                <w:lang w:val="en-US" w:eastAsia="zh-CN"/>
              </w:rPr>
              <w:t>5</w:t>
            </w:r>
          </w:p>
        </w:tc>
        <w:tc>
          <w:tcPr>
            <w:tcW w:w="6990" w:type="dxa"/>
            <w:gridSpan w:val="2"/>
            <w:tcBorders>
              <w:left w:val="single" w:color="auto" w:sz="4" w:space="0"/>
              <w:right w:val="single" w:color="auto" w:sz="4" w:space="0"/>
            </w:tcBorders>
            <w:vAlign w:val="center"/>
          </w:tcPr>
          <w:p>
            <w:pPr>
              <w:rPr>
                <w:rFonts w:hint="eastAsia" w:ascii="Times New Roman" w:hAnsi="Times New Roman" w:cs="Times New Roman"/>
                <w:lang w:val="en-US" w:eastAsia="zh-CN"/>
              </w:rPr>
            </w:pPr>
            <w:r>
              <w:rPr>
                <w:rFonts w:hint="eastAsia" w:ascii="Times New Roman" w:hAnsi="Times New Roman" w:cs="Times New Roman"/>
                <w:lang w:val="en-US" w:eastAsia="zh-CN"/>
              </w:rPr>
              <w:t>没能将《RB/T104-2013交通运输企业能源管理体系认证要求》在公司的能源管理手册中进行描述。EnMS/7.5。</w:t>
            </w:r>
          </w:p>
        </w:tc>
        <w:tc>
          <w:tcPr>
            <w:tcW w:w="2033" w:type="dxa"/>
            <w:tcBorders>
              <w:left w:val="single" w:color="auto" w:sz="4" w:space="0"/>
            </w:tcBorders>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7" w:hRule="exact"/>
          <w:jc w:val="center"/>
        </w:trPr>
        <w:tc>
          <w:tcPr>
            <w:tcW w:w="900" w:type="dxa"/>
            <w:tcBorders>
              <w:right w:val="single" w:color="auto" w:sz="4" w:space="0"/>
            </w:tcBorders>
            <w:vAlign w:val="center"/>
          </w:tcPr>
          <w:p>
            <w:pPr>
              <w:rPr>
                <w:rFonts w:hint="eastAsia" w:ascii="Times New Roman" w:hAnsi="Times New Roman" w:cs="Times New Roman"/>
                <w:lang w:val="en-US" w:eastAsia="zh-CN"/>
              </w:rPr>
            </w:pPr>
            <w:r>
              <w:rPr>
                <w:rFonts w:hint="eastAsia" w:ascii="Times New Roman" w:hAnsi="Times New Roman" w:cs="Times New Roman"/>
                <w:lang w:val="en-US" w:eastAsia="zh-CN"/>
              </w:rPr>
              <w:t>6</w:t>
            </w:r>
          </w:p>
        </w:tc>
        <w:tc>
          <w:tcPr>
            <w:tcW w:w="6990" w:type="dxa"/>
            <w:gridSpan w:val="2"/>
            <w:tcBorders>
              <w:left w:val="single" w:color="auto" w:sz="4" w:space="0"/>
              <w:right w:val="single" w:color="auto" w:sz="4" w:space="0"/>
            </w:tcBorders>
            <w:vAlign w:val="center"/>
          </w:tcPr>
          <w:p>
            <w:pPr>
              <w:rPr>
                <w:rFonts w:hint="default" w:ascii="Times New Roman" w:hAnsi="Times New Roman" w:cs="Times New Roman"/>
                <w:lang w:val="en-US" w:eastAsia="zh-CN"/>
              </w:rPr>
            </w:pPr>
            <w:r>
              <w:rPr>
                <w:rFonts w:hint="default" w:ascii="Times New Roman" w:hAnsi="Times New Roman" w:cs="Times New Roman"/>
                <w:lang w:val="en-US" w:eastAsia="zh-CN"/>
              </w:rPr>
              <w:t>没能</w:t>
            </w:r>
            <w:r>
              <w:rPr>
                <w:rFonts w:hint="eastAsia" w:ascii="Times New Roman" w:hAnsi="Times New Roman" w:cs="Times New Roman"/>
                <w:lang w:val="en-US" w:eastAsia="zh-CN"/>
              </w:rPr>
              <w:t>通知</w:t>
            </w:r>
            <w:r>
              <w:rPr>
                <w:rFonts w:hint="default" w:ascii="Times New Roman" w:hAnsi="Times New Roman" w:cs="Times New Roman"/>
                <w:lang w:val="en-US" w:eastAsia="zh-CN"/>
              </w:rPr>
              <w:t>合格供应商“烟台海德专用汽车有限公司”能源绩效是</w:t>
            </w:r>
            <w:r>
              <w:rPr>
                <w:rFonts w:hint="eastAsia" w:ascii="Times New Roman" w:hAnsi="Times New Roman" w:cs="Times New Roman"/>
                <w:lang w:val="en-US" w:eastAsia="zh-CN"/>
              </w:rPr>
              <w:t>公司</w:t>
            </w:r>
            <w:r>
              <w:rPr>
                <w:rFonts w:hint="default" w:ascii="Times New Roman" w:hAnsi="Times New Roman" w:cs="Times New Roman"/>
                <w:lang w:val="en-US" w:eastAsia="zh-CN"/>
              </w:rPr>
              <w:t>采购的评价标准之一。EnMS/8.3</w:t>
            </w:r>
            <w:r>
              <w:rPr>
                <w:rFonts w:hint="eastAsia" w:ascii="Times New Roman" w:hAnsi="Times New Roman" w:cs="Times New Roman"/>
                <w:lang w:val="en-US" w:eastAsia="zh-CN"/>
              </w:rPr>
              <w:t>。</w:t>
            </w:r>
            <w:r>
              <w:rPr>
                <w:rFonts w:hint="default" w:ascii="Times New Roman" w:hAnsi="Times New Roman" w:cs="Times New Roman"/>
                <w:lang w:val="en-US" w:eastAsia="zh-CN"/>
              </w:rPr>
              <w:t xml:space="preserve"> </w:t>
            </w:r>
          </w:p>
        </w:tc>
        <w:tc>
          <w:tcPr>
            <w:tcW w:w="2033" w:type="dxa"/>
            <w:tcBorders>
              <w:left w:val="single" w:color="auto" w:sz="4" w:space="0"/>
            </w:tcBorders>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900" w:type="dxa"/>
            <w:tcBorders>
              <w:right w:val="single" w:color="auto" w:sz="4" w:space="0"/>
            </w:tcBorders>
            <w:vAlign w:val="center"/>
          </w:tcPr>
          <w:p>
            <w:pPr>
              <w:rPr>
                <w:rFonts w:hint="eastAsia" w:ascii="Times New Roman" w:hAnsi="Times New Roman" w:cs="Times New Roman"/>
                <w:lang w:val="en-US" w:eastAsia="zh-CN"/>
              </w:rPr>
            </w:pPr>
            <w:r>
              <w:rPr>
                <w:rFonts w:hint="eastAsia" w:ascii="Times New Roman" w:hAnsi="Times New Roman" w:cs="Times New Roman"/>
                <w:lang w:val="en-US" w:eastAsia="zh-CN"/>
              </w:rPr>
              <w:t>7</w:t>
            </w:r>
          </w:p>
        </w:tc>
        <w:tc>
          <w:tcPr>
            <w:tcW w:w="6990" w:type="dxa"/>
            <w:gridSpan w:val="2"/>
            <w:tcBorders>
              <w:left w:val="single" w:color="auto" w:sz="4" w:space="0"/>
              <w:right w:val="single" w:color="auto" w:sz="4" w:space="0"/>
            </w:tcBorders>
            <w:vAlign w:val="center"/>
          </w:tcPr>
          <w:p>
            <w:pPr>
              <w:rPr>
                <w:rFonts w:hint="default" w:ascii="Times New Roman" w:hAnsi="Times New Roman" w:cs="Times New Roman"/>
                <w:lang w:val="en-US" w:eastAsia="zh-CN"/>
              </w:rPr>
            </w:pPr>
            <w:r>
              <w:rPr>
                <w:rFonts w:hint="default" w:ascii="Times New Roman" w:hAnsi="Times New Roman" w:cs="Times New Roman"/>
                <w:lang w:val="en-US" w:eastAsia="zh-CN"/>
              </w:rPr>
              <w:t>没能提供对财务部进行内部审核</w:t>
            </w:r>
            <w:r>
              <w:rPr>
                <w:rFonts w:hint="eastAsia" w:ascii="Times New Roman" w:hAnsi="Times New Roman" w:cs="Times New Roman"/>
                <w:lang w:val="en-US" w:eastAsia="zh-CN"/>
              </w:rPr>
              <w:t>较为详细</w:t>
            </w:r>
            <w:r>
              <w:rPr>
                <w:rFonts w:hint="default" w:ascii="Times New Roman" w:hAnsi="Times New Roman" w:cs="Times New Roman"/>
                <w:lang w:val="en-US" w:eastAsia="zh-CN"/>
              </w:rPr>
              <w:t>的检查</w:t>
            </w:r>
            <w:r>
              <w:rPr>
                <w:rFonts w:hint="eastAsia" w:ascii="Times New Roman" w:hAnsi="Times New Roman" w:cs="Times New Roman"/>
                <w:lang w:val="en-US" w:eastAsia="zh-CN"/>
              </w:rPr>
              <w:t>证据</w:t>
            </w:r>
            <w:r>
              <w:rPr>
                <w:rFonts w:hint="default" w:ascii="Times New Roman" w:hAnsi="Times New Roman" w:cs="Times New Roman"/>
                <w:lang w:val="en-US" w:eastAsia="zh-CN"/>
              </w:rPr>
              <w:t>。EnMS/9.2.2。</w:t>
            </w:r>
          </w:p>
        </w:tc>
        <w:tc>
          <w:tcPr>
            <w:tcW w:w="2033" w:type="dxa"/>
            <w:tcBorders>
              <w:left w:val="single" w:color="auto" w:sz="4" w:space="0"/>
            </w:tcBorders>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900" w:type="dxa"/>
            <w:tcBorders>
              <w:right w:val="single" w:color="auto" w:sz="4" w:space="0"/>
            </w:tcBorders>
            <w:vAlign w:val="center"/>
          </w:tcPr>
          <w:p>
            <w:pPr>
              <w:rPr>
                <w:rFonts w:hint="eastAsia" w:ascii="Times New Roman" w:hAnsi="Times New Roman" w:cs="Times New Roman"/>
                <w:lang w:val="en-US" w:eastAsia="zh-CN"/>
              </w:rPr>
            </w:pPr>
            <w:r>
              <w:rPr>
                <w:rFonts w:hint="eastAsia" w:ascii="Times New Roman" w:hAnsi="Times New Roman" w:cs="Times New Roman"/>
                <w:lang w:val="en-US" w:eastAsia="zh-CN"/>
              </w:rPr>
              <w:t>8</w:t>
            </w:r>
          </w:p>
        </w:tc>
        <w:tc>
          <w:tcPr>
            <w:tcW w:w="6990" w:type="dxa"/>
            <w:gridSpan w:val="2"/>
            <w:tcBorders>
              <w:left w:val="single" w:color="auto" w:sz="4" w:space="0"/>
              <w:right w:val="single" w:color="auto" w:sz="4" w:space="0"/>
            </w:tcBorders>
            <w:vAlign w:val="center"/>
          </w:tcPr>
          <w:p>
            <w:pPr>
              <w:rPr>
                <w:rFonts w:hint="default" w:ascii="Times New Roman" w:hAnsi="Times New Roman" w:cs="Times New Roman"/>
                <w:lang w:val="en-US" w:eastAsia="zh-CN"/>
              </w:rPr>
            </w:pPr>
            <w:r>
              <w:rPr>
                <w:rFonts w:hint="default" w:ascii="Times New Roman" w:hAnsi="Times New Roman" w:cs="Times New Roman"/>
                <w:lang w:val="en-US" w:eastAsia="zh-CN"/>
              </w:rPr>
              <w:t>没能提供公司《能源管理手册》《能源程序文件》的分发证据。EnMS/7.5.3</w:t>
            </w:r>
            <w:r>
              <w:rPr>
                <w:rFonts w:hint="eastAsia" w:ascii="Times New Roman" w:hAnsi="Times New Roman" w:cs="Times New Roman"/>
                <w:lang w:val="en-US" w:eastAsia="zh-CN"/>
              </w:rPr>
              <w:t>。</w:t>
            </w:r>
          </w:p>
        </w:tc>
        <w:tc>
          <w:tcPr>
            <w:tcW w:w="2033" w:type="dxa"/>
            <w:tcBorders>
              <w:left w:val="single" w:color="auto" w:sz="4" w:space="0"/>
            </w:tcBorders>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7" w:hRule="exact"/>
          <w:jc w:val="center"/>
        </w:trPr>
        <w:tc>
          <w:tcPr>
            <w:tcW w:w="900" w:type="dxa"/>
            <w:tcBorders>
              <w:right w:val="single" w:color="auto" w:sz="4" w:space="0"/>
            </w:tcBorders>
            <w:vAlign w:val="center"/>
          </w:tcPr>
          <w:p>
            <w:pPr>
              <w:rPr>
                <w:rFonts w:hint="eastAsia" w:ascii="Times New Roman" w:hAnsi="Times New Roman" w:cs="Times New Roman"/>
                <w:lang w:val="en-US" w:eastAsia="zh-CN"/>
              </w:rPr>
            </w:pPr>
            <w:r>
              <w:rPr>
                <w:rFonts w:hint="eastAsia" w:ascii="Times New Roman" w:hAnsi="Times New Roman" w:cs="Times New Roman"/>
                <w:lang w:val="en-US" w:eastAsia="zh-CN"/>
              </w:rPr>
              <w:t>9</w:t>
            </w:r>
          </w:p>
        </w:tc>
        <w:tc>
          <w:tcPr>
            <w:tcW w:w="6990" w:type="dxa"/>
            <w:gridSpan w:val="2"/>
            <w:tcBorders>
              <w:left w:val="single" w:color="auto" w:sz="4" w:space="0"/>
              <w:right w:val="single" w:color="auto" w:sz="4" w:space="0"/>
            </w:tcBorders>
            <w:vAlign w:val="center"/>
          </w:tcPr>
          <w:p>
            <w:pPr>
              <w:rPr>
                <w:rFonts w:hint="eastAsia" w:ascii="Times New Roman" w:hAnsi="Times New Roman" w:cs="Times New Roman"/>
                <w:lang w:val="en-US" w:eastAsia="zh-CN"/>
              </w:rPr>
            </w:pPr>
            <w:r>
              <w:rPr>
                <w:rFonts w:hint="eastAsia" w:ascii="Times New Roman" w:hAnsi="Times New Roman" w:cs="Times New Roman"/>
                <w:lang w:val="en-US" w:eastAsia="zh-CN"/>
              </w:rPr>
              <w:t>查阅公司《2021年度培训计划》与《培训记录》，没能提供“2021年11月11日</w:t>
            </w:r>
            <w:r>
              <w:rPr>
                <w:rFonts w:hint="eastAsia" w:ascii="Times New Roman" w:hAnsi="Times New Roman" w:cs="Times New Roman"/>
                <w:lang w:val="en-US" w:eastAsia="zh-CN"/>
              </w:rPr>
              <w:tab/>
            </w:r>
            <w:r>
              <w:rPr>
                <w:rFonts w:hint="eastAsia" w:ascii="Times New Roman" w:hAnsi="Times New Roman" w:cs="Times New Roman"/>
                <w:lang w:val="en-US" w:eastAsia="zh-CN"/>
              </w:rPr>
              <w:t xml:space="preserve">内审员培训”的培训记录及培训效果的评价的较为明晰的相关证据。EnMS/7.2  问题。 </w:t>
            </w:r>
          </w:p>
        </w:tc>
        <w:tc>
          <w:tcPr>
            <w:tcW w:w="2033" w:type="dxa"/>
            <w:tcBorders>
              <w:left w:val="single" w:color="auto" w:sz="4" w:space="0"/>
            </w:tcBorders>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7" w:hRule="exact"/>
          <w:jc w:val="center"/>
        </w:trPr>
        <w:tc>
          <w:tcPr>
            <w:tcW w:w="900" w:type="dxa"/>
            <w:tcBorders>
              <w:right w:val="single" w:color="auto" w:sz="4" w:space="0"/>
            </w:tcBorders>
            <w:vAlign w:val="center"/>
          </w:tcPr>
          <w:p>
            <w:pPr>
              <w:rPr>
                <w:rFonts w:hint="default" w:ascii="Times New Roman" w:hAnsi="Times New Roman" w:cs="Times New Roman"/>
                <w:lang w:val="en-US" w:eastAsia="zh-CN"/>
              </w:rPr>
            </w:pPr>
            <w:r>
              <w:rPr>
                <w:rFonts w:hint="eastAsia" w:ascii="Times New Roman" w:hAnsi="Times New Roman" w:cs="Times New Roman"/>
                <w:lang w:val="en-US" w:eastAsia="zh-CN"/>
              </w:rPr>
              <w:t>10</w:t>
            </w:r>
          </w:p>
        </w:tc>
        <w:tc>
          <w:tcPr>
            <w:tcW w:w="6990" w:type="dxa"/>
            <w:gridSpan w:val="2"/>
            <w:tcBorders>
              <w:left w:val="single" w:color="auto" w:sz="4" w:space="0"/>
              <w:right w:val="single" w:color="auto" w:sz="4" w:space="0"/>
            </w:tcBorders>
            <w:vAlign w:val="center"/>
          </w:tcPr>
          <w:p>
            <w:pPr>
              <w:rPr>
                <w:rFonts w:hint="default" w:ascii="Times New Roman" w:hAnsi="Times New Roman" w:cs="Times New Roman"/>
                <w:lang w:val="en-US" w:eastAsia="zh-CN"/>
              </w:rPr>
            </w:pPr>
            <w:r>
              <w:rPr>
                <w:rFonts w:hint="default" w:ascii="Times New Roman" w:hAnsi="Times New Roman" w:cs="Times New Roman"/>
                <w:lang w:val="en-US" w:eastAsia="zh-CN"/>
              </w:rPr>
              <w:t>公司《能源管理手册》中“5.3 组织的岗位、职责和权限”没能对部门的职责进行描述。</w:t>
            </w:r>
          </w:p>
        </w:tc>
        <w:tc>
          <w:tcPr>
            <w:tcW w:w="2033" w:type="dxa"/>
            <w:tcBorders>
              <w:left w:val="single" w:color="auto" w:sz="4" w:space="0"/>
            </w:tcBorders>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900" w:type="dxa"/>
            <w:tcBorders>
              <w:right w:val="single" w:color="auto" w:sz="4" w:space="0"/>
            </w:tcBorders>
            <w:vAlign w:val="center"/>
          </w:tcPr>
          <w:p/>
        </w:tc>
        <w:tc>
          <w:tcPr>
            <w:tcW w:w="6990" w:type="dxa"/>
            <w:gridSpan w:val="2"/>
            <w:tcBorders>
              <w:left w:val="single" w:color="auto" w:sz="4" w:space="0"/>
              <w:right w:val="single" w:color="auto" w:sz="4" w:space="0"/>
            </w:tcBorders>
            <w:vAlign w:val="center"/>
          </w:tcPr>
          <w:p/>
        </w:tc>
        <w:tc>
          <w:tcPr>
            <w:tcW w:w="2033" w:type="dxa"/>
            <w:tcBorders>
              <w:left w:val="single" w:color="auto" w:sz="4" w:space="0"/>
            </w:tcBorders>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900" w:type="dxa"/>
            <w:tcBorders>
              <w:right w:val="single" w:color="auto" w:sz="4" w:space="0"/>
            </w:tcBorders>
            <w:vAlign w:val="center"/>
          </w:tcPr>
          <w:p/>
        </w:tc>
        <w:tc>
          <w:tcPr>
            <w:tcW w:w="6990" w:type="dxa"/>
            <w:gridSpan w:val="2"/>
            <w:tcBorders>
              <w:left w:val="single" w:color="auto" w:sz="4" w:space="0"/>
              <w:right w:val="single" w:color="auto" w:sz="4" w:space="0"/>
            </w:tcBorders>
            <w:vAlign w:val="center"/>
          </w:tcPr>
          <w:p/>
        </w:tc>
        <w:tc>
          <w:tcPr>
            <w:tcW w:w="2033" w:type="dxa"/>
            <w:tcBorders>
              <w:left w:val="single" w:color="auto" w:sz="4" w:space="0"/>
            </w:tcBorders>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900" w:type="dxa"/>
            <w:tcBorders>
              <w:right w:val="single" w:color="auto" w:sz="4" w:space="0"/>
            </w:tcBorders>
            <w:vAlign w:val="center"/>
          </w:tcPr>
          <w:p/>
        </w:tc>
        <w:tc>
          <w:tcPr>
            <w:tcW w:w="6990" w:type="dxa"/>
            <w:gridSpan w:val="2"/>
            <w:tcBorders>
              <w:left w:val="single" w:color="auto" w:sz="4" w:space="0"/>
              <w:right w:val="single" w:color="auto" w:sz="4" w:space="0"/>
            </w:tcBorders>
            <w:vAlign w:val="center"/>
          </w:tcPr>
          <w:p/>
        </w:tc>
        <w:tc>
          <w:tcPr>
            <w:tcW w:w="2033" w:type="dxa"/>
            <w:tcBorders>
              <w:left w:val="single" w:color="auto" w:sz="4" w:space="0"/>
            </w:tcBorders>
            <w:vAlign w:val="center"/>
          </w:tcPr>
          <w:p/>
        </w:tc>
      </w:tr>
    </w:tbl>
    <w:p/>
    <w:sectPr>
      <w:headerReference r:id="rId3" w:type="default"/>
      <w:pgSz w:w="11906" w:h="16838"/>
      <w:pgMar w:top="1440" w:right="1080" w:bottom="1440" w:left="1080" w:header="79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宋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Wingdings 2">
    <w:altName w:val="Wingdings"/>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sz w:val="18"/>
      </w:rPr>
    </w:pPr>
    <w:r>
      <w:drawing>
        <wp:anchor distT="0" distB="0" distL="114300" distR="114300" simplePos="0" relativeHeight="251660288" behindDoc="0" locked="0" layoutInCell="1" allowOverlap="1">
          <wp:simplePos x="0" y="0"/>
          <wp:positionH relativeFrom="column">
            <wp:posOffset>-57150</wp:posOffset>
          </wp:positionH>
          <wp:positionV relativeFrom="paragraph">
            <wp:posOffset>-56515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5003800</wp:posOffset>
              </wp:positionH>
              <wp:positionV relativeFrom="paragraph">
                <wp:posOffset>144145</wp:posOffset>
              </wp:positionV>
              <wp:extent cx="1216025" cy="252730"/>
              <wp:effectExtent l="0" t="0" r="3175" b="1270"/>
              <wp:wrapNone/>
              <wp:docPr id="1" name="文本框 1"/>
              <wp:cNvGraphicFramePr/>
              <a:graphic xmlns:a="http://schemas.openxmlformats.org/drawingml/2006/main">
                <a:graphicData uri="http://schemas.microsoft.com/office/word/2010/wordprocessingShape">
                  <wps:wsp>
                    <wps:cNvSpPr txBox="1"/>
                    <wps:spPr>
                      <a:xfrm>
                        <a:off x="0" y="0"/>
                        <a:ext cx="1216025" cy="252730"/>
                      </a:xfrm>
                      <a:prstGeom prst="rect">
                        <a:avLst/>
                      </a:prstGeom>
                      <a:solidFill>
                        <a:srgbClr val="FFFFFF"/>
                      </a:solidFill>
                      <a:ln>
                        <a:noFill/>
                      </a:ln>
                    </wps:spPr>
                    <wps:txbx>
                      <w:txbxContent>
                        <w:p>
                          <w:pPr>
                            <w:rPr>
                              <w:sz w:val="18"/>
                              <w:szCs w:val="18"/>
                            </w:rPr>
                          </w:pPr>
                          <w:r>
                            <w:rPr>
                              <w:rFonts w:hint="eastAsia"/>
                              <w:sz w:val="18"/>
                              <w:szCs w:val="18"/>
                            </w:rPr>
                            <w:t>ISC-B-II-18(05版）</w:t>
                          </w:r>
                        </w:p>
                      </w:txbxContent>
                    </wps:txbx>
                    <wps:bodyPr upright="1"/>
                  </wps:wsp>
                </a:graphicData>
              </a:graphic>
            </wp:anchor>
          </w:drawing>
        </mc:Choice>
        <mc:Fallback>
          <w:pict>
            <v:shape id="_x0000_s1026" o:spid="_x0000_s1026" o:spt="202" type="#_x0000_t202" style="position:absolute;left:0pt;margin-left:394pt;margin-top:11.35pt;height:19.9pt;width:95.75pt;z-index:251659264;mso-width-relative:page;mso-height-relative:page;" fillcolor="#FFFFFF" filled="t" stroked="f" coordsize="21600,21600" o:gfxdata="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JK9d5HXAAAACQEAAA8AAAAAAAAAAQAgAAAAIgAAAGRycy9kb3ducmV2Lnht&#10;bFBLAQIUABQAAAAIAIdO4kDNm0ECwQEAAHcDAAAOAAAAAAAAAAEAIAAAACYBAABkcnMvZTJvRG9j&#10;LnhtbFBLBQYAAAAABgAGAFkBAABZBQAAAAA=&#10;">
              <v:fill on="t" focussize="0,0"/>
              <v:stroke on="f"/>
              <v:imagedata o:title=""/>
              <o:lock v:ext="edit" aspectratio="f"/>
              <v:textbox>
                <w:txbxContent>
                  <w:p>
                    <w:pPr>
                      <w:rPr>
                        <w:sz w:val="18"/>
                        <w:szCs w:val="18"/>
                      </w:rPr>
                    </w:pPr>
                    <w:r>
                      <w:rPr>
                        <w:rFonts w:hint="eastAsia"/>
                        <w:sz w:val="18"/>
                        <w:szCs w:val="18"/>
                      </w:rPr>
                      <w:t>ISC-B-II-18(05版）</w:t>
                    </w:r>
                  </w:p>
                </w:txbxContent>
              </v:textbox>
            </v:shape>
          </w:pict>
        </mc:Fallback>
      </mc:AlternateContent>
    </w:r>
    <w:r>
      <w:rPr>
        <w:rStyle w:val="11"/>
        <w:rFonts w:hint="default"/>
        <w:sz w:val="18"/>
      </w:rPr>
      <w:t>北京国标联合认证有限公司</w:t>
    </w:r>
    <w:r>
      <w:rPr>
        <w:rStyle w:val="11"/>
        <w:rFonts w:hint="default"/>
        <w:sz w:val="18"/>
      </w:rPr>
      <w:tab/>
    </w:r>
    <w:r>
      <w:rPr>
        <w:rStyle w:val="11"/>
        <w:rFonts w:hint="default"/>
        <w:sz w:val="18"/>
      </w:rPr>
      <w:tab/>
    </w:r>
    <w:r>
      <w:rPr>
        <w:rStyle w:val="11"/>
        <w:rFonts w:hint="default"/>
        <w:sz w:val="18"/>
      </w:rPr>
      <w:tab/>
    </w:r>
  </w:p>
  <w:p>
    <w:pPr>
      <w:pStyle w:val="5"/>
      <w:pBdr>
        <w:bottom w:val="single" w:color="auto" w:sz="4" w:space="1"/>
      </w:pBdr>
      <w:spacing w:line="320" w:lineRule="exact"/>
      <w:ind w:firstLine="727" w:firstLineChars="449"/>
      <w:jc w:val="left"/>
    </w:pPr>
    <w:r>
      <w:rPr>
        <w:rStyle w:val="11"/>
        <w:rFonts w:hint="default"/>
        <w:w w:val="90"/>
        <w:sz w:val="18"/>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5"/>
    <w:multiLevelType w:val="multilevel"/>
    <w:tmpl w:val="00000015"/>
    <w:lvl w:ilvl="0" w:tentative="0">
      <w:start w:val="1"/>
      <w:numFmt w:val="lowerLetter"/>
      <w:pStyle w:val="12"/>
      <w:lvlText w:val="%1)"/>
      <w:lvlJc w:val="left"/>
      <w:pPr>
        <w:tabs>
          <w:tab w:val="left" w:pos="840"/>
        </w:tabs>
        <w:ind w:left="839" w:hanging="419"/>
      </w:pPr>
      <w:rPr>
        <w:rFonts w:hint="eastAsia" w:ascii="宋体" w:eastAsia="宋体" w:cs="Times New Roman"/>
        <w:b w:val="0"/>
        <w:i w:val="0"/>
        <w:sz w:val="21"/>
        <w:szCs w:val="21"/>
      </w:rPr>
    </w:lvl>
    <w:lvl w:ilvl="1" w:tentative="0">
      <w:start w:val="1"/>
      <w:numFmt w:val="decimal"/>
      <w:lvlText w:val="%2)"/>
      <w:lvlJc w:val="left"/>
      <w:pPr>
        <w:tabs>
          <w:tab w:val="left" w:pos="1260"/>
        </w:tabs>
        <w:ind w:left="1259" w:hanging="419"/>
      </w:pPr>
      <w:rPr>
        <w:rFonts w:hint="eastAsia" w:cs="Times New Roman"/>
      </w:rPr>
    </w:lvl>
    <w:lvl w:ilvl="2" w:tentative="0">
      <w:start w:val="1"/>
      <w:numFmt w:val="decimal"/>
      <w:lvlText w:val="(%3)"/>
      <w:lvlJc w:val="left"/>
      <w:pPr>
        <w:tabs>
          <w:tab w:val="left" w:pos="0"/>
        </w:tabs>
        <w:ind w:left="1679" w:hanging="420"/>
      </w:pPr>
      <w:rPr>
        <w:rFonts w:hint="eastAsia" w:ascii="宋体" w:eastAsia="宋体" w:cs="Times New Roman"/>
        <w:b w:val="0"/>
        <w:i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241399"/>
    <w:rsid w:val="17D02A98"/>
    <w:rsid w:val="2CDC06FE"/>
    <w:rsid w:val="56D76AF7"/>
    <w:rsid w:val="61225B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rPr>
      <w:sz w:val="24"/>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页眉 Char"/>
    <w:basedOn w:val="8"/>
    <w:link w:val="5"/>
    <w:qFormat/>
    <w:uiPriority w:val="99"/>
    <w:rPr>
      <w:rFonts w:ascii="Times New Roman" w:hAnsi="Times New Roman" w:eastAsia="宋体" w:cs="Times New Roman"/>
      <w:kern w:val="2"/>
      <w:sz w:val="18"/>
      <w:szCs w:val="18"/>
    </w:rPr>
  </w:style>
  <w:style w:type="character" w:customStyle="1" w:styleId="10">
    <w:name w:val="页脚 Char"/>
    <w:basedOn w:val="8"/>
    <w:link w:val="4"/>
    <w:qFormat/>
    <w:uiPriority w:val="99"/>
    <w:rPr>
      <w:rFonts w:ascii="Times New Roman" w:hAnsi="Times New Roman" w:eastAsia="宋体" w:cs="Times New Roman"/>
      <w:kern w:val="2"/>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字母编号列项（一级）"/>
    <w:qFormat/>
    <w:uiPriority w:val="0"/>
    <w:pPr>
      <w:numPr>
        <w:ilvl w:val="0"/>
        <w:numId w:val="1"/>
      </w:numPr>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28</Words>
  <Characters>165</Characters>
  <Lines>1</Lines>
  <Paragraphs>1</Paragraphs>
  <TotalTime>0</TotalTime>
  <ScaleCrop>false</ScaleCrop>
  <LinksUpToDate>false</LinksUpToDate>
  <CharactersWithSpaces>192</CharactersWithSpaces>
  <Application>WPS Office_11.1.0.11435_F1E327BC-269C-435d-A152-05C5408002CA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2016-08-11T01:15:00Z</dcterms:created>
  <dc:creator>User</dc:creator>
  <cp:lastModifiedBy>开门大吉～ISO认证服务</cp:lastModifiedBy>
  <dcterms:modified xsi:type="dcterms:W3CDTF">2022-08-02T11:55:57Z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B8CDE6F3868D4BD896C807BDC0ACB969</vt:lpwstr>
  </property>
  <property fmtid="{D5CDD505-2E9C-101B-9397-08002B2CF9AE}" pid="3" name="KSOProductBuildVer">
    <vt:lpwstr>2052-11.1.0.11435</vt:lpwstr>
  </property>
</Properties>
</file>