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0550-2022-EnMs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浙江利珉环境科技有限公司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2022年07月29日 上午至2022年07月29日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现场：</w:t>
            </w:r>
            <w:r>
              <w:rPr>
                <w:rFonts w:hint="eastAsia" w:ascii="宋体" w:hAnsi="宋体" w:cs="宋体"/>
                <w:color w:val="000000"/>
                <w:kern w:val="0"/>
                <w:szCs w:val="21"/>
              </w:rPr>
              <w:t>浙江省金华市婺城区临江东路898号1号楼1502-1508室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周涛</w:t>
            </w:r>
            <w:r>
              <w:rPr>
                <w:rFonts w:hint="eastAsia" w:ascii="宋体" w:hAnsi="宋体" w:cs="宋体"/>
                <w:color w:val="000000"/>
                <w:kern w:val="0"/>
                <w:szCs w:val="21"/>
                <w:lang w:eastAsia="zh-CN"/>
              </w:rPr>
              <w:t>）</w:t>
            </w:r>
          </w:p>
          <w:p>
            <w:pPr>
              <w:rPr>
                <w:rFonts w:hint="default" w:ascii="宋体" w:hAnsi="宋体" w:eastAsia="宋体" w:cs="宋体"/>
                <w:color w:val="000000"/>
                <w:kern w:val="0"/>
                <w:szCs w:val="21"/>
                <w:lang w:val="en-US" w:eastAsia="zh-CN"/>
              </w:rPr>
            </w:pPr>
            <w:r>
              <w:rPr>
                <w:rFonts w:hint="eastAsia" w:cs="Arial"/>
                <w:b/>
                <w:bCs/>
                <w:color w:val="0000FF"/>
                <w:szCs w:val="21"/>
                <w:lang w:val="en-US" w:eastAsia="zh-CN"/>
              </w:rPr>
              <w:t>远程：河北省石家庄市（李丽英）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w:t>
            </w:r>
            <w:r>
              <w:rPr>
                <w:rFonts w:hint="eastAsia"/>
                <w:b/>
                <w:color w:val="000000"/>
                <w:szCs w:val="21"/>
                <w:lang w:val="en-US" w:eastAsia="zh-CN"/>
              </w:rPr>
              <w:t xml:space="preserve">  </w:t>
            </w:r>
            <w:r>
              <w:rPr>
                <w:b/>
                <w:color w:val="000000"/>
                <w:szCs w:val="21"/>
              </w:rPr>
              <w:t>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浙江利珉环境科技有限公司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浙江省金华市婺城区临江东路898号1号楼1502-1508室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321000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浙江省金华市婺城区临江东路898号1号楼1502-1508室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321000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陈林锋</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13588655194</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刘余碧</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刘余碧</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垃圾清扫、分类、运输和处理。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eastAsia="宋体"/>
                <w:color w:val="000000"/>
                <w:szCs w:val="21"/>
                <w:lang w:eastAsia="zh-CN"/>
              </w:rPr>
            </w:pPr>
            <w:r>
              <w:rPr>
                <w:rFonts w:hint="eastAsia" w:ascii="宋体" w:eastAsia="宋体"/>
                <w:color w:val="000000"/>
                <w:szCs w:val="21"/>
                <w:lang w:eastAsia="zh-CN"/>
              </w:rPr>
              <w:drawing>
                <wp:inline distT="0" distB="0" distL="114300" distR="114300">
                  <wp:extent cx="4971415" cy="3620770"/>
                  <wp:effectExtent l="0" t="0" r="6985" b="11430"/>
                  <wp:docPr id="2" name="图片 2" descr="1aa9bc8ce54bbf451aed2338c6dc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a9bc8ce54bbf451aed2338c6dc147"/>
                          <pic:cNvPicPr>
                            <a:picLocks noChangeAspect="1"/>
                          </pic:cNvPicPr>
                        </pic:nvPicPr>
                        <pic:blipFill>
                          <a:blip r:embed="rId6"/>
                          <a:stretch>
                            <a:fillRect/>
                          </a:stretch>
                        </pic:blipFill>
                        <pic:spPr>
                          <a:xfrm>
                            <a:off x="0" y="0"/>
                            <a:ext cx="4971415" cy="3620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eastAsia="宋体" w:cs="宋体"/>
                <w:color w:val="000000"/>
                <w:kern w:val="0"/>
                <w:szCs w:val="21"/>
              </w:rPr>
              <w:t>城市生活垃圾经营性清扫、收集、运输服务，化粪池清理、污水管道疏通服务，智能垃圾分类服务</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sz w:val="21"/>
          <w:szCs w:val="21"/>
          <w:lang w:eastAsia="zh-CN"/>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02"/>
        <w:gridCol w:w="2932"/>
        <w:gridCol w:w="1081"/>
        <w:gridCol w:w="1702"/>
        <w:gridCol w:w="12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602"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932"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08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702"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6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02" w:type="dxa"/>
          </w:tcPr>
          <w:p>
            <w:pPr>
              <w:spacing w:before="40" w:after="40"/>
              <w:rPr>
                <w:rFonts w:hint="eastAsia" w:eastAsia="宋体"/>
                <w:szCs w:val="21"/>
                <w:lang w:val="en-US" w:eastAsia="zh-CN"/>
              </w:rPr>
            </w:pPr>
            <w:r>
              <w:rPr>
                <w:rFonts w:hint="eastAsia" w:ascii="宋体" w:hAnsi="宋体" w:cs="宋体"/>
                <w:color w:val="000000"/>
                <w:kern w:val="0"/>
                <w:szCs w:val="21"/>
              </w:rPr>
              <w:t>浙江利珉环境科技有限公司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浙江省金华市婺城区临江东路898号1号楼1502-1508室</w:t>
            </w:r>
          </w:p>
        </w:tc>
        <w:tc>
          <w:tcPr>
            <w:tcW w:w="2932" w:type="dxa"/>
          </w:tcPr>
          <w:p>
            <w:pPr>
              <w:numPr>
                <w:ilvl w:val="0"/>
                <w:numId w:val="3"/>
              </w:numPr>
              <w:spacing w:before="40" w:after="40"/>
              <w:rPr>
                <w:rFonts w:hint="eastAsia" w:ascii="宋体" w:hAnsi="宋体" w:cs="宋体"/>
                <w:color w:val="000000"/>
                <w:kern w:val="0"/>
                <w:szCs w:val="21"/>
                <w:lang w:eastAsia="zh-CN"/>
              </w:rPr>
            </w:pPr>
            <w:r>
              <w:rPr>
                <w:rFonts w:hint="eastAsia" w:ascii="宋体" w:hAnsi="宋体" w:cs="宋体"/>
                <w:color w:val="000000"/>
                <w:kern w:val="0"/>
                <w:szCs w:val="21"/>
              </w:rPr>
              <w:t>浙江省金华市婺城区临江东路898号1号楼1502-1508室</w:t>
            </w:r>
            <w:r>
              <w:rPr>
                <w:rFonts w:hint="eastAsia" w:ascii="宋体" w:hAnsi="宋体" w:cs="宋体"/>
                <w:color w:val="000000"/>
                <w:kern w:val="0"/>
                <w:szCs w:val="21"/>
                <w:lang w:eastAsia="zh-CN"/>
              </w:rPr>
              <w:t>；</w:t>
            </w:r>
          </w:p>
          <w:p>
            <w:pPr>
              <w:numPr>
                <w:ilvl w:val="0"/>
                <w:numId w:val="3"/>
              </w:numPr>
              <w:spacing w:before="40" w:after="40"/>
              <w:rPr>
                <w:rFonts w:hint="default" w:eastAsia="宋体"/>
                <w:szCs w:val="21"/>
                <w:lang w:val="en-US" w:eastAsia="zh-CN"/>
              </w:rPr>
            </w:pPr>
            <w:r>
              <w:rPr>
                <w:rFonts w:hint="default" w:eastAsia="宋体"/>
                <w:szCs w:val="21"/>
                <w:lang w:val="en-US" w:eastAsia="zh-CN"/>
              </w:rPr>
              <w:t>金华市经济开发区苏孟乡苏孟村</w:t>
            </w:r>
            <w:r>
              <w:rPr>
                <w:rFonts w:hint="eastAsia"/>
                <w:szCs w:val="21"/>
                <w:lang w:val="en-US" w:eastAsia="zh-CN"/>
              </w:rPr>
              <w:t>；</w:t>
            </w:r>
          </w:p>
          <w:p>
            <w:pPr>
              <w:numPr>
                <w:ilvl w:val="0"/>
                <w:numId w:val="3"/>
              </w:numPr>
              <w:spacing w:before="40" w:after="40"/>
              <w:rPr>
                <w:rFonts w:hint="default" w:eastAsia="宋体"/>
                <w:szCs w:val="21"/>
                <w:lang w:val="en-US" w:eastAsia="zh-CN"/>
              </w:rPr>
            </w:pPr>
            <w:r>
              <w:rPr>
                <w:rFonts w:hint="default" w:eastAsia="宋体"/>
                <w:szCs w:val="21"/>
                <w:lang w:val="en-US" w:eastAsia="zh-CN"/>
              </w:rPr>
              <w:t>金华市经济开发区苏孟乡江家村</w:t>
            </w:r>
            <w:r>
              <w:rPr>
                <w:rFonts w:hint="eastAsia"/>
                <w:szCs w:val="21"/>
                <w:lang w:val="en-US" w:eastAsia="zh-CN"/>
              </w:rPr>
              <w:t>；</w:t>
            </w:r>
          </w:p>
        </w:tc>
        <w:tc>
          <w:tcPr>
            <w:tcW w:w="1081" w:type="dxa"/>
            <w:vAlign w:val="center"/>
          </w:tcPr>
          <w:p>
            <w:pPr>
              <w:numPr>
                <w:ilvl w:val="0"/>
                <w:numId w:val="0"/>
              </w:numPr>
              <w:spacing w:before="40" w:after="4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涉及能源管理体系100人（总人数260）</w:t>
            </w:r>
          </w:p>
        </w:tc>
        <w:tc>
          <w:tcPr>
            <w:tcW w:w="1702" w:type="dxa"/>
            <w:vAlign w:val="center"/>
          </w:tcPr>
          <w:p>
            <w:pPr>
              <w:pStyle w:val="21"/>
              <w:rPr>
                <w:rFonts w:eastAsia="黑体" w:cs="Arial"/>
                <w:sz w:val="21"/>
                <w:szCs w:val="21"/>
                <w:lang w:val="en-US" w:eastAsia="ja-JP"/>
              </w:rPr>
            </w:pPr>
            <w:r>
              <w:rPr>
                <w:rFonts w:hint="eastAsia" w:ascii="宋体" w:hAnsi="宋体" w:eastAsia="宋体" w:cs="宋体"/>
                <w:color w:val="000000"/>
                <w:kern w:val="0"/>
                <w:szCs w:val="21"/>
              </w:rPr>
              <w:t>城市生活垃圾经营性清扫、收集、运输服务，化粪池清理、污水管道疏通服务，智能垃圾分类服务</w:t>
            </w:r>
          </w:p>
        </w:tc>
        <w:tc>
          <w:tcPr>
            <w:tcW w:w="1260"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2022-07-</w:t>
            </w:r>
            <w:bookmarkEnd w:id="32"/>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1758950</wp:posOffset>
            </wp:positionH>
            <wp:positionV relativeFrom="paragraph">
              <wp:posOffset>355600</wp:posOffset>
            </wp:positionV>
            <wp:extent cx="647700" cy="30480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3793490</wp:posOffset>
            </wp:positionH>
            <wp:positionV relativeFrom="paragraph">
              <wp:posOffset>-177800</wp:posOffset>
            </wp:positionV>
            <wp:extent cx="659130" cy="381000"/>
            <wp:effectExtent l="0" t="0" r="127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659130" cy="381000"/>
                    </a:xfrm>
                    <a:prstGeom prst="rect">
                      <a:avLst/>
                    </a:prstGeom>
                    <a:noFill/>
                    <a:ln>
                      <a:noFill/>
                    </a:ln>
                  </pic:spPr>
                </pic:pic>
              </a:graphicData>
            </a:graphic>
          </wp:anchor>
        </w:drawing>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pacing w:before="157" w:beforeLines="50" w:line="240" w:lineRule="auto"/>
              <w:jc w:val="both"/>
              <w:textAlignment w:val="auto"/>
              <w:rPr>
                <w:rFonts w:hint="eastAsia"/>
                <w:color w:val="000000"/>
                <w:sz w:val="21"/>
                <w:szCs w:val="21"/>
                <w:lang w:val="en-US" w:eastAsia="zh-CN"/>
              </w:rPr>
            </w:pPr>
            <w:r>
              <w:rPr>
                <w:rFonts w:hint="eastAsia"/>
                <w:color w:val="000000"/>
                <w:sz w:val="21"/>
                <w:szCs w:val="21"/>
                <w:lang w:val="en-US" w:eastAsia="zh-CN"/>
              </w:rPr>
              <w:t>提供的《适用的法律法规和其他要求清单》中《RB/T 119-2015《能源管理体系 机械制造企业认证要求》》不适用于本企业；《</w:t>
            </w:r>
            <w:bookmarkStart w:id="33" w:name="OLE_LINK1"/>
            <w:r>
              <w:rPr>
                <w:rFonts w:hint="eastAsia"/>
                <w:color w:val="000000"/>
                <w:sz w:val="21"/>
                <w:szCs w:val="21"/>
                <w:lang w:val="en-US" w:eastAsia="zh-CN"/>
              </w:rPr>
              <w:t>GB/T 13234-2009</w:t>
            </w:r>
            <w:bookmarkEnd w:id="33"/>
            <w:r>
              <w:rPr>
                <w:rFonts w:hint="eastAsia"/>
                <w:color w:val="000000"/>
                <w:sz w:val="21"/>
                <w:szCs w:val="21"/>
                <w:lang w:val="en-US" w:eastAsia="zh-CN"/>
              </w:rPr>
              <w:t>企业节能量计算方法》已失效未更新；《36713-2018《 能源管理体系 能源基准和能源绩效参数》》未识别是国家标准还是行业标准</w:t>
            </w:r>
          </w:p>
          <w:p>
            <w:pPr>
              <w:keepNext w:val="0"/>
              <w:keepLines w:val="0"/>
              <w:pageBreakBefore w:val="0"/>
              <w:widowControl w:val="0"/>
              <w:kinsoku/>
              <w:wordWrap/>
              <w:overflowPunct/>
              <w:topLinePunct w:val="0"/>
              <w:autoSpaceDE/>
              <w:autoSpaceDN/>
              <w:bidi w:val="0"/>
              <w:adjustRightInd/>
              <w:spacing w:before="157" w:beforeLines="50" w:line="240" w:lineRule="auto"/>
              <w:textAlignment w:val="auto"/>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合规性评价中的清单与法律法规清单内容不一致， 能源管理体系法律、法规及其它要求合规性评价表</w:t>
            </w:r>
          </w:p>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48" w:type="dxa"/>
            <w:vAlign w:val="center"/>
          </w:tcPr>
          <w:p>
            <w:pPr>
              <w:pStyle w:val="8"/>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能源评审报告不是该企业的内容。</w:t>
            </w: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48" w:type="dxa"/>
            <w:vAlign w:val="center"/>
          </w:tcPr>
          <w:p>
            <w:pPr>
              <w:pStyle w:val="8"/>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3</w:t>
            </w:r>
          </w:p>
        </w:tc>
        <w:tc>
          <w:tcPr>
            <w:tcW w:w="6191" w:type="dxa"/>
            <w:gridSpan w:val="2"/>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内审开具的不符合“提供的数据搜集计划未覆盖斜臂机械手X-650V”内容不具体</w:t>
            </w: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6.6</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48" w:type="dxa"/>
            <w:vAlign w:val="center"/>
          </w:tcPr>
          <w:p>
            <w:pPr>
              <w:pStyle w:val="8"/>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4</w:t>
            </w:r>
          </w:p>
        </w:tc>
        <w:tc>
          <w:tcPr>
            <w:tcW w:w="6191" w:type="dxa"/>
            <w:gridSpan w:val="2"/>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内审计划编制人A、内审不符合审核员A、验证人A、内审不符合培训主持人A、培训效果验证人A，A是谁？</w:t>
            </w:r>
          </w:p>
        </w:tc>
        <w:tc>
          <w:tcPr>
            <w:tcW w:w="922"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9.2</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2336" behindDoc="0" locked="0" layoutInCell="1" allowOverlap="1">
                  <wp:simplePos x="0" y="0"/>
                  <wp:positionH relativeFrom="column">
                    <wp:posOffset>1528445</wp:posOffset>
                  </wp:positionH>
                  <wp:positionV relativeFrom="paragraph">
                    <wp:posOffset>66040</wp:posOffset>
                  </wp:positionV>
                  <wp:extent cx="647700" cy="304800"/>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陈林峰</w:t>
            </w:r>
            <w:bookmarkStart w:id="34" w:name="_GoBack"/>
            <w:bookmarkEnd w:id="34"/>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3360" behindDoc="0" locked="0" layoutInCell="1" allowOverlap="1">
                  <wp:simplePos x="0" y="0"/>
                  <wp:positionH relativeFrom="column">
                    <wp:posOffset>699770</wp:posOffset>
                  </wp:positionH>
                  <wp:positionV relativeFrom="paragraph">
                    <wp:posOffset>45085</wp:posOffset>
                  </wp:positionV>
                  <wp:extent cx="647700" cy="304800"/>
                  <wp:effectExtent l="0" t="0" r="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30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1701E2D"/>
    <w:multiLevelType w:val="singleLevel"/>
    <w:tmpl w:val="E1701E2D"/>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5E2C0CF4"/>
    <w:multiLevelType w:val="singleLevel"/>
    <w:tmpl w:val="5E2C0CF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2334BDB"/>
    <w:rsid w:val="3E955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2022-07-30T12:41:33Z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