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275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浙江利珉环境科技有限公司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陈林峰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周涛、</w:t>
            </w:r>
            <w:r>
              <w:rPr>
                <w:rFonts w:hint="eastAsia"/>
                <w:color w:val="000000"/>
                <w:sz w:val="24"/>
                <w:szCs w:val="24"/>
              </w:rPr>
              <w:t>李丽英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2" w:name="审核日期"/>
            <w:r>
              <w:rPr>
                <w:color w:val="000000"/>
              </w:rPr>
              <w:t>2022年07月29日 上午至2022年07月29日 下午</w:t>
            </w:r>
            <w:bookmarkEnd w:id="2"/>
          </w:p>
        </w:tc>
        <w:tc>
          <w:tcPr>
            <w:tcW w:w="1314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314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：91330701753007741L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2003-07-18 至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>一般项目：技术服务、技术开发、技术咨询、技术交流、技术转让、技术推广；固体废物治理；资源再生利用技术研发；再生资源回收（除生产性废旧金属）；水污染治理；环境卫生公共设施安装服务；物业管理；园林绿化工程施工；市政设施管理；建筑物清洁服务；白蚁防治服务；病媒生物防制服务；广告制作；广告设计、代理；普通货物仓储服务（不含危险化学品等需许可审批的项目）；小微型客车租赁经营服务；国内货物运输代理(除依法须经批准的项目外，凭营业执照依法自主开展经营活动)。许可项目：</w:t>
            </w:r>
            <w:r>
              <w:rPr>
                <w:rFonts w:hint="eastAsia"/>
                <w:color w:val="0000FF"/>
                <w:szCs w:val="21"/>
                <w:u w:val="single"/>
              </w:rPr>
              <w:t>城市生活垃圾经营性服务；公路管理与养护；道路货物运输</w:t>
            </w:r>
            <w:r>
              <w:rPr>
                <w:rFonts w:hint="eastAsia"/>
                <w:color w:val="000000"/>
                <w:szCs w:val="21"/>
                <w:u w:val="single"/>
              </w:rPr>
              <w:t>（不含危险货物）；道路危险货物运输；危险废物经营(依法须经批准的项目，经相关部门批准后方可开展经营活动，具体经营项目以审批结果为准)。；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rFonts w:hint="eastAsia"/>
                <w:color w:val="000000"/>
                <w:szCs w:val="21"/>
                <w:u w:val="single"/>
              </w:rPr>
              <w:t>许可范围内的城市生活垃圾经营性清扫、收集、运输服务，化粪池清理、污水管道疏通服务，智能垃圾分类服务所涉及的能源管理活动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3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《城市生活垃圾经营服务许可证》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202203000004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2022. 3.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 xml:space="preserve">11 </w:t>
            </w:r>
            <w:r>
              <w:rPr>
                <w:rFonts w:hint="eastAsia" w:ascii="仿宋" w:hAnsi="仿宋" w:eastAsia="仿宋" w:cs="仿宋"/>
                <w:color w:val="000000"/>
                <w:szCs w:val="21"/>
                <w:u w:val="single"/>
                <w:lang w:val="en-US" w:eastAsia="zh-CN"/>
              </w:rPr>
              <w:t>～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 xml:space="preserve">2023 3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.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.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从事城市生活垃圾经营性清扫、收集、运输服务。</w:t>
            </w:r>
          </w:p>
          <w:p>
            <w:pPr>
              <w:spacing w:line="440" w:lineRule="exact"/>
              <w:rPr>
                <w:rFonts w:hint="eastAsia"/>
                <w:b/>
                <w:bCs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道路运输经营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浙交运管许可金字330701100425号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2021. 9.7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Cs w:val="21"/>
                <w:u w:val="single"/>
                <w:lang w:val="en-US" w:eastAsia="zh-CN"/>
              </w:rPr>
              <w:t>～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31.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9.7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货运、普通货运。</w:t>
            </w:r>
          </w:p>
        </w:tc>
        <w:tc>
          <w:tcPr>
            <w:tcW w:w="13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浙江省金华市婺城区临江东路898号1号楼1502-1508室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浙江省金华市婺城区临江东路898号1号楼1502-1508室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3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lang w:val="en-US" w:eastAsia="zh-CN"/>
              </w:rPr>
              <w:t>金华市经济开发区苏孟乡</w:t>
            </w:r>
            <w:r>
              <w:rPr>
                <w:rFonts w:hint="eastAsia"/>
                <w:color w:val="000000"/>
              </w:rPr>
              <w:t>苏孟村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现场2：</w:t>
            </w:r>
            <w:r>
              <w:rPr>
                <w:rFonts w:hint="eastAsia"/>
                <w:color w:val="000000"/>
                <w:lang w:val="en-US" w:eastAsia="zh-CN"/>
              </w:rPr>
              <w:t>金华市经济开发区苏孟乡</w:t>
            </w:r>
            <w:r>
              <w:rPr>
                <w:rFonts w:hint="eastAsia"/>
                <w:color w:val="000000"/>
              </w:rPr>
              <w:t>江家村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与申请时提供的《多场所申报清单》是否一致</w:t>
            </w:r>
          </w:p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3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□内容不同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3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3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6289675" cy="5005070"/>
                  <wp:effectExtent l="0" t="0" r="9525" b="11430"/>
                  <wp:docPr id="1" name="图片 1" descr="1aa9bc8ce54bbf451aed2338c6dc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aa9bc8ce54bbf451aed2338c6dc1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9675" cy="500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000000"/>
              </w:rPr>
            </w:pPr>
          </w:p>
        </w:tc>
        <w:tc>
          <w:tcPr>
            <w:tcW w:w="13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</w:t>
            </w:r>
            <w:bookmarkStart w:id="5" w:name="_GoBack"/>
            <w:bookmarkEnd w:id="5"/>
            <w:r>
              <w:rPr>
                <w:rFonts w:hint="eastAsia"/>
                <w:color w:val="000000"/>
              </w:rPr>
              <w:t>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260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yellow"/>
              </w:rPr>
              <w:t>管理人员</w:t>
            </w:r>
            <w:r>
              <w:rPr>
                <w:rFonts w:hint="eastAsia"/>
                <w:color w:val="000000"/>
                <w:szCs w:val="21"/>
                <w:highlight w:val="yellow"/>
              </w:rPr>
              <w:t>人</w:t>
            </w:r>
            <w:r>
              <w:rPr>
                <w:rFonts w:hint="eastAsia"/>
                <w:color w:val="000000"/>
                <w:szCs w:val="18"/>
                <w:highlight w:val="yellow"/>
              </w:rPr>
              <w:t>；操作人员</w:t>
            </w:r>
            <w:r>
              <w:rPr>
                <w:rFonts w:hint="eastAsia"/>
                <w:color w:val="000000"/>
                <w:szCs w:val="21"/>
                <w:highlight w:val="yellow"/>
              </w:rPr>
              <w:t>人</w:t>
            </w:r>
            <w:r>
              <w:rPr>
                <w:rFonts w:hint="eastAsia"/>
                <w:color w:val="000000"/>
                <w:szCs w:val="18"/>
                <w:highlight w:val="yellow"/>
              </w:rPr>
              <w:t>；劳务派遣人员</w:t>
            </w:r>
            <w:r>
              <w:rPr>
                <w:rFonts w:hint="eastAsia"/>
                <w:color w:val="000000"/>
                <w:szCs w:val="21"/>
                <w:highlight w:val="yellow"/>
              </w:rPr>
              <w:t>人</w:t>
            </w:r>
            <w:r>
              <w:rPr>
                <w:rFonts w:hint="eastAsia"/>
                <w:color w:val="000000"/>
                <w:szCs w:val="18"/>
                <w:highlight w:val="yellow"/>
              </w:rPr>
              <w:t>；临时工</w:t>
            </w:r>
            <w:r>
              <w:rPr>
                <w:rFonts w:hint="eastAsia"/>
                <w:color w:val="000000"/>
                <w:szCs w:val="21"/>
                <w:highlight w:val="yellow"/>
              </w:rPr>
              <w:t>人</w:t>
            </w:r>
            <w:r>
              <w:rPr>
                <w:rFonts w:hint="eastAsia"/>
                <w:color w:val="000000"/>
                <w:szCs w:val="18"/>
                <w:highlight w:val="yellow"/>
              </w:rPr>
              <w:t>；</w:t>
            </w:r>
            <w:r>
              <w:rPr>
                <w:rFonts w:hint="eastAsia"/>
                <w:color w:val="000000"/>
                <w:szCs w:val="21"/>
                <w:highlight w:val="yellow"/>
              </w:rPr>
              <w:t>季节工人</w:t>
            </w:r>
            <w:r>
              <w:rPr>
                <w:rFonts w:hint="eastAsia"/>
                <w:color w:val="000000"/>
                <w:szCs w:val="18"/>
                <w:highlight w:val="yellow"/>
              </w:rPr>
              <w:t>；</w:t>
            </w:r>
          </w:p>
        </w:tc>
        <w:tc>
          <w:tcPr>
            <w:tcW w:w="13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3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3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3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3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20"/>
              <w:gridCol w:w="1110"/>
              <w:gridCol w:w="1722"/>
              <w:gridCol w:w="42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11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172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422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2021年度能源目标：公司总部单位面积能耗≦2.19kgce/㎡a；项目部0.31kgce/㎡a。</w:t>
                  </w:r>
                </w:p>
              </w:tc>
              <w:tc>
                <w:tcPr>
                  <w:tcW w:w="111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172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年度综合能耗/总面积.年</w:t>
                  </w:r>
                </w:p>
              </w:tc>
              <w:tc>
                <w:tcPr>
                  <w:tcW w:w="422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实际完成情况：公司总部单位面积能耗2.96kgce/㎡a；项目部0.76kgce/㎡a，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没有完成目标。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2022年度能源目标：公司总部单位面积能耗≦2.96kgce/㎡a；项目部0.76kgce/㎡。</w:t>
                  </w:r>
                </w:p>
              </w:tc>
              <w:tc>
                <w:tcPr>
                  <w:tcW w:w="111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172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年度综合能耗/总面积.年</w:t>
                  </w:r>
                </w:p>
              </w:tc>
              <w:tc>
                <w:tcPr>
                  <w:tcW w:w="422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2022年1-6月份实际完成情况：公司总部单位面积能耗1.08kgce/㎡a；项目部0.72kgce/㎡a，完成目标。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3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3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3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</w:tc>
        <w:tc>
          <w:tcPr>
            <w:tcW w:w="131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</w:tc>
        <w:tc>
          <w:tcPr>
            <w:tcW w:w="131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</w:tc>
        <w:tc>
          <w:tcPr>
            <w:tcW w:w="131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3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村庄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3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3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3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37F81308"/>
    <w:rsid w:val="3E0D64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</TotalTime>
  <ScaleCrop>false</ScaleCrop>
  <LinksUpToDate>false</LinksUpToDate>
  <CharactersWithSpaces>13072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2022-07-30T08:59:07Z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2052-11.1.0.11435</vt:lpwstr>
  </property>
</Properties>
</file>