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EBDE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DF6B2A" w14:paraId="53313DEB" w14:textId="77777777">
        <w:trPr>
          <w:cantSplit/>
          <w:trHeight w:val="915"/>
        </w:trPr>
        <w:tc>
          <w:tcPr>
            <w:tcW w:w="1368" w:type="dxa"/>
          </w:tcPr>
          <w:p w14:paraId="55DF7A1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95C9BE6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0D5BFF0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F6B2A" w14:paraId="033B9A82" w14:textId="77777777">
        <w:trPr>
          <w:cantSplit/>
        </w:trPr>
        <w:tc>
          <w:tcPr>
            <w:tcW w:w="1368" w:type="dxa"/>
          </w:tcPr>
          <w:p w14:paraId="2321313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B6A0AC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广汉市盛鸿达建材有限公司</w:t>
            </w:r>
            <w:bookmarkEnd w:id="11"/>
          </w:p>
        </w:tc>
        <w:tc>
          <w:tcPr>
            <w:tcW w:w="1290" w:type="dxa"/>
          </w:tcPr>
          <w:p w14:paraId="3E2D7C6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209F652" w14:textId="2256EB2A" w:rsidR="00CE7DF8" w:rsidRDefault="000A0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但成龙</w:t>
            </w:r>
          </w:p>
        </w:tc>
      </w:tr>
      <w:tr w:rsidR="00DF6B2A" w14:paraId="56710559" w14:textId="77777777">
        <w:trPr>
          <w:cantSplit/>
        </w:trPr>
        <w:tc>
          <w:tcPr>
            <w:tcW w:w="1368" w:type="dxa"/>
          </w:tcPr>
          <w:p w14:paraId="20A3244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DB464DC" w14:textId="6CBB09FC" w:rsidR="007B682A" w:rsidRDefault="000A0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7C8E0FF4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7107012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4C3CBDF" w14:textId="23CB4798" w:rsidR="00CE7DF8" w:rsidRDefault="000A091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2022年8月30日</w:t>
            </w:r>
          </w:p>
        </w:tc>
      </w:tr>
      <w:tr w:rsidR="00DF6B2A" w14:paraId="0CAF7831" w14:textId="77777777">
        <w:trPr>
          <w:trHeight w:val="4138"/>
        </w:trPr>
        <w:tc>
          <w:tcPr>
            <w:tcW w:w="10035" w:type="dxa"/>
            <w:gridSpan w:val="4"/>
          </w:tcPr>
          <w:p w14:paraId="48E71148" w14:textId="47981663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0A0914" w:rsidRPr="009B64E8">
              <w:rPr>
                <w:rFonts w:ascii="方正仿宋简体" w:eastAsia="方正仿宋简体" w:hint="eastAsia"/>
                <w:bCs/>
              </w:rPr>
              <w:t>组织有行车两台</w:t>
            </w:r>
            <w:r w:rsidR="009B64E8" w:rsidRPr="009B64E8">
              <w:rPr>
                <w:rFonts w:ascii="方正仿宋简体" w:eastAsia="方正仿宋简体" w:hint="eastAsia"/>
                <w:bCs/>
              </w:rPr>
              <w:t>，出示其中一台的有效年检报告（见附件扫描件）。另一台不能出示其进行了有效年检的证据。</w:t>
            </w:r>
          </w:p>
          <w:p w14:paraId="45E16B7F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73E5B0A4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DB67BB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CB3EF5E" w14:textId="47858ECA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9B64E8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C10EB7">
              <w:rPr>
                <w:rFonts w:ascii="宋体" w:hAnsi="宋体" w:hint="eastAsia"/>
                <w:b/>
                <w:sz w:val="22"/>
                <w:szCs w:val="22"/>
              </w:rPr>
              <w:t>：“</w:t>
            </w:r>
            <w:r w:rsidR="00C10EB7" w:rsidRPr="00C10EB7">
              <w:rPr>
                <w:rFonts w:ascii="宋体" w:hAnsi="宋体" w:hint="eastAsia"/>
                <w:b/>
                <w:sz w:val="22"/>
                <w:szCs w:val="22"/>
              </w:rPr>
              <w:t>d）为过程的运行使用适宜的基础设施，并保持适宜的环境；”的规定。</w:t>
            </w:r>
          </w:p>
          <w:p w14:paraId="4DF2E09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99EA2A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5D29112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0A144692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46E3F92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32DA03CB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0D0462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1213ED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3744F6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0176DC6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DDB2943" w14:textId="0E173BDC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F4971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BCAAB22" w14:textId="56567FC5" w:rsidR="00CE7DF8" w:rsidRDefault="00CF497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17668B5" wp14:editId="22756344">
                  <wp:simplePos x="0" y="0"/>
                  <wp:positionH relativeFrom="column">
                    <wp:posOffset>2933353</wp:posOffset>
                  </wp:positionH>
                  <wp:positionV relativeFrom="paragraph">
                    <wp:posOffset>131214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DE8E438" wp14:editId="1867B7CE">
                  <wp:simplePos x="0" y="0"/>
                  <wp:positionH relativeFrom="column">
                    <wp:posOffset>585009</wp:posOffset>
                  </wp:positionH>
                  <wp:positionV relativeFrom="paragraph">
                    <wp:posOffset>117360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140F3E" w14:textId="45407F0A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519999D6" w14:textId="35D76C74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CF497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CF497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</w:t>
            </w:r>
            <w:r w:rsidR="00CF497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2022年08月02日</w:t>
            </w:r>
          </w:p>
        </w:tc>
      </w:tr>
      <w:tr w:rsidR="00DF6B2A" w14:paraId="5DA80D3D" w14:textId="77777777">
        <w:trPr>
          <w:trHeight w:val="3768"/>
        </w:trPr>
        <w:tc>
          <w:tcPr>
            <w:tcW w:w="10035" w:type="dxa"/>
            <w:gridSpan w:val="4"/>
          </w:tcPr>
          <w:p w14:paraId="42A2B44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6EB2F1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77B0FC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1A020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BCC256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C4958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310D0C7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F6B2A" w14:paraId="14071C62" w14:textId="77777777">
        <w:trPr>
          <w:trHeight w:val="1702"/>
        </w:trPr>
        <w:tc>
          <w:tcPr>
            <w:tcW w:w="10028" w:type="dxa"/>
          </w:tcPr>
          <w:p w14:paraId="0726203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CAD864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04945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BC1C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A347D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DF6B2A" w14:paraId="7DFFAC95" w14:textId="77777777">
        <w:trPr>
          <w:trHeight w:val="1393"/>
        </w:trPr>
        <w:tc>
          <w:tcPr>
            <w:tcW w:w="10028" w:type="dxa"/>
          </w:tcPr>
          <w:p w14:paraId="6FD88E0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1CD85B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490DD1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7F442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6662D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EB71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7ABF0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DF6B2A" w14:paraId="693297B0" w14:textId="77777777">
        <w:trPr>
          <w:trHeight w:val="1854"/>
        </w:trPr>
        <w:tc>
          <w:tcPr>
            <w:tcW w:w="10028" w:type="dxa"/>
          </w:tcPr>
          <w:p w14:paraId="548CDB0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ABC2C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F8C6B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5EC560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6AD854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DE4E0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654C7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DF6B2A" w14:paraId="5E6DC15A" w14:textId="77777777">
        <w:trPr>
          <w:trHeight w:val="1537"/>
        </w:trPr>
        <w:tc>
          <w:tcPr>
            <w:tcW w:w="10028" w:type="dxa"/>
          </w:tcPr>
          <w:p w14:paraId="54F238D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B7A89C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703BD8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58ACD2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EDBE6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ADDF0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0516A7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F6B2A" w14:paraId="25B9E569" w14:textId="77777777">
        <w:trPr>
          <w:trHeight w:val="1699"/>
        </w:trPr>
        <w:tc>
          <w:tcPr>
            <w:tcW w:w="10028" w:type="dxa"/>
          </w:tcPr>
          <w:p w14:paraId="339F720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6E6A30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0922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82413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0CED2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F34CB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8D29DA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2F82BE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DF6B2A" w14:paraId="7D1AF279" w14:textId="77777777">
        <w:trPr>
          <w:trHeight w:val="2485"/>
        </w:trPr>
        <w:tc>
          <w:tcPr>
            <w:tcW w:w="10028" w:type="dxa"/>
          </w:tcPr>
          <w:p w14:paraId="67A2BD7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94B73A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A04C9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6A834C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DFD4E9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BC0B2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05E35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EE5AB7" w14:textId="5FC16148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CF4971">
              <w:rPr>
                <w:rFonts w:eastAsia="方正仿宋简体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DD4FD8D" w14:textId="08B10C21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F4971">
        <w:rPr>
          <w:rFonts w:eastAsia="方正仿宋简体" w:hint="eastAsia"/>
          <w:b/>
        </w:rPr>
        <w:t xml:space="preserve"> </w:t>
      </w:r>
      <w:r w:rsidR="00CF4971">
        <w:rPr>
          <w:rFonts w:eastAsia="方正仿宋简体"/>
          <w:b/>
        </w:rPr>
        <w:t xml:space="preserve">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C325" w14:textId="77777777" w:rsidR="00B01D9F" w:rsidRDefault="00B01D9F">
      <w:r>
        <w:separator/>
      </w:r>
    </w:p>
  </w:endnote>
  <w:endnote w:type="continuationSeparator" w:id="0">
    <w:p w14:paraId="0E0245B0" w14:textId="77777777" w:rsidR="00B01D9F" w:rsidRDefault="00B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0EF2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5505" w14:textId="77777777" w:rsidR="00B01D9F" w:rsidRDefault="00B01D9F">
      <w:r>
        <w:separator/>
      </w:r>
    </w:p>
  </w:footnote>
  <w:footnote w:type="continuationSeparator" w:id="0">
    <w:p w14:paraId="219ADC8C" w14:textId="77777777" w:rsidR="00B01D9F" w:rsidRDefault="00B0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DBFD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3379D6E" wp14:editId="279F3CDC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2EE8A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44CF45D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CB6674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2A"/>
    <w:rsid w:val="000A0914"/>
    <w:rsid w:val="0047492E"/>
    <w:rsid w:val="009B64E8"/>
    <w:rsid w:val="00B01D9F"/>
    <w:rsid w:val="00C10EB7"/>
    <w:rsid w:val="00CF4971"/>
    <w:rsid w:val="00D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832D44B"/>
  <w15:docId w15:val="{F846A61C-C927-4D85-A3B6-ADEDCB6A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2022-08-09T01:56:00Z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