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0449-2020-QO-2022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道达电动车制造成都有限公司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道达电动车制造成都有限公司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成都市大邑县晋原镇建业路北段180号</w:t>
            </w:r>
            <w:bookmarkEnd w:id="6"/>
          </w:p>
        </w:tc>
        <w:tc>
          <w:tcPr>
            <w:tcW w:w="1242" w:type="dxa"/>
            <w:vMerge w:val="restart"/>
            <w:vAlign w:val="center"/>
          </w:tcPr>
          <w:p>
            <w:r>
              <w:rPr>
                <w:rFonts w:hint="eastAsia"/>
              </w:rPr>
              <w:t>邮编</w:t>
            </w:r>
          </w:p>
        </w:tc>
        <w:tc>
          <w:tcPr>
            <w:tcW w:w="1771" w:type="dxa"/>
          </w:tcPr>
          <w:p>
            <w:bookmarkStart w:id="7" w:name="注册邮编"/>
            <w:r>
              <w:t>611330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成都市大邑县晋原镇建业路北段180号</w:t>
            </w:r>
            <w:bookmarkEnd w:id="8"/>
          </w:p>
        </w:tc>
        <w:tc>
          <w:tcPr>
            <w:tcW w:w="1242" w:type="dxa"/>
            <w:vMerge w:val="continue"/>
            <w:vAlign w:val="center"/>
          </w:tcPr>
          <w:p/>
        </w:tc>
        <w:tc>
          <w:tcPr>
            <w:tcW w:w="1771" w:type="dxa"/>
          </w:tcPr>
          <w:p>
            <w:bookmarkStart w:id="9" w:name="办公邮编"/>
            <w:r>
              <w:t>611330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马学洋</w:t>
            </w:r>
            <w:bookmarkEnd w:id="10"/>
          </w:p>
        </w:tc>
        <w:tc>
          <w:tcPr>
            <w:tcW w:w="1313" w:type="dxa"/>
            <w:vAlign w:val="center"/>
          </w:tcPr>
          <w:p>
            <w:r>
              <w:rPr>
                <w:rFonts w:hint="eastAsia"/>
              </w:rPr>
              <w:t>电话.</w:t>
            </w:r>
          </w:p>
        </w:tc>
        <w:tc>
          <w:tcPr>
            <w:tcW w:w="2180" w:type="dxa"/>
            <w:vAlign w:val="center"/>
          </w:tcPr>
          <w:p>
            <w:bookmarkStart w:id="11" w:name="联系人电话"/>
            <w:r>
              <w:t>18231875050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马飞</w:t>
            </w:r>
            <w:bookmarkEnd w:id="13"/>
          </w:p>
        </w:tc>
        <w:tc>
          <w:tcPr>
            <w:tcW w:w="1313" w:type="dxa"/>
            <w:vAlign w:val="center"/>
          </w:tcPr>
          <w:p>
            <w:r>
              <w:rPr>
                <w:rFonts w:hint="eastAsia"/>
              </w:rPr>
              <w:t>管理者代表</w:t>
            </w:r>
          </w:p>
        </w:tc>
        <w:tc>
          <w:tcPr>
            <w:tcW w:w="2180" w:type="dxa"/>
          </w:tcPr>
          <w:p>
            <w:bookmarkStart w:id="14" w:name="管理者代表"/>
            <w:r>
              <w:t>张卫柯</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sz w:val="21"/>
                <w:szCs w:val="21"/>
                <w:lang w:val="en-US" w:eastAsia="zh-CN"/>
              </w:rPr>
              <w:t>工艺流程：</w:t>
            </w:r>
            <w:r>
              <w:rPr>
                <w:rFonts w:hint="eastAsia"/>
                <w:sz w:val="21"/>
                <w:szCs w:val="21"/>
              </w:rPr>
              <w:t>机械加工→表面处理（静电喷涂）→底盘装配→车壳装配→内饰件装配→调试→入库→出厂</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2022年08月03日 上午至2022年08月03日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成都市大邑县晋原镇建业路北段180号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Q：非公路用旅游观光车的研发、生产、销售</w:t>
            </w:r>
          </w:p>
          <w:p>
            <w:r>
              <w:t>O：非公路用旅游观光车的研发、生产、销售所涉及的相关职业健康安全管理活动</w:t>
            </w:r>
          </w:p>
          <w:p>
            <w:r>
              <w:t>E：非公路用旅游观光车的研发、生产、销售所涉及场所的相关环境管理活动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Q：22.01.00</w:t>
            </w:r>
          </w:p>
          <w:p>
            <w:r>
              <w:t>O：22.01.00</w:t>
            </w:r>
          </w:p>
          <w:p>
            <w:r>
              <w:t>E：22.01.00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2021年09月16日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有效至2023年9月16日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79"/>
        <w:gridCol w:w="600"/>
        <w:gridCol w:w="2182"/>
        <w:gridCol w:w="184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679" w:type="dxa"/>
            <w:shd w:val="clear" w:color="auto" w:fill="F3F3F3"/>
            <w:tcMar>
              <w:left w:w="57" w:type="dxa"/>
              <w:right w:w="57" w:type="dxa"/>
            </w:tcMar>
          </w:tcPr>
          <w:p>
            <w:r>
              <w:rPr>
                <w:rFonts w:hint="eastAsia"/>
              </w:rPr>
              <w:t>经营场所的地址</w:t>
            </w:r>
          </w:p>
          <w:p>
            <w:r>
              <w:rPr>
                <w:rFonts w:hint="eastAsia"/>
              </w:rPr>
              <w:t>（多现场和临时现场）</w:t>
            </w:r>
          </w:p>
        </w:tc>
        <w:tc>
          <w:tcPr>
            <w:tcW w:w="600" w:type="dxa"/>
            <w:shd w:val="clear" w:color="auto" w:fill="F3F3F3"/>
            <w:tcMar>
              <w:left w:w="57" w:type="dxa"/>
              <w:right w:w="57" w:type="dxa"/>
            </w:tcMar>
          </w:tcPr>
          <w:p>
            <w:r>
              <w:rPr>
                <w:rFonts w:hint="eastAsia"/>
              </w:rPr>
              <w:t>员工人数</w:t>
            </w:r>
          </w:p>
        </w:tc>
        <w:tc>
          <w:tcPr>
            <w:tcW w:w="2182" w:type="dxa"/>
            <w:shd w:val="clear" w:color="auto" w:fill="F3F3F3"/>
            <w:tcMar>
              <w:left w:w="57" w:type="dxa"/>
              <w:right w:w="57" w:type="dxa"/>
            </w:tcMar>
          </w:tcPr>
          <w:p>
            <w:r>
              <w:rPr>
                <w:rFonts w:hint="eastAsia"/>
              </w:rPr>
              <w:t>审核范围（产品和过程）</w:t>
            </w:r>
          </w:p>
          <w:p/>
          <w:p/>
        </w:tc>
        <w:tc>
          <w:tcPr>
            <w:tcW w:w="184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ascii="Times New Roman" w:hAnsi="Times New Roman" w:eastAsia="宋体" w:cs="Times New Roman"/>
                <w:kern w:val="2"/>
                <w:sz w:val="21"/>
                <w:szCs w:val="24"/>
                <w:lang w:val="de-DE" w:eastAsia="ja-JP" w:bidi="ar-SA"/>
              </w:rPr>
            </w:pPr>
            <w:r>
              <w:rPr>
                <w:sz w:val="21"/>
                <w:szCs w:val="21"/>
              </w:rPr>
              <w:t>道达电动车制造成都有限公司</w:t>
            </w:r>
            <w:r>
              <w:rPr>
                <w:rFonts w:hint="eastAsia"/>
                <w:sz w:val="21"/>
                <w:szCs w:val="21"/>
                <w:lang w:val="en-US" w:eastAsia="zh-CN"/>
              </w:rPr>
              <w:t>/</w:t>
            </w:r>
            <w:r>
              <w:rPr>
                <w:rFonts w:hint="eastAsia"/>
                <w:lang w:val="de-DE" w:eastAsia="ja-JP"/>
              </w:rPr>
              <w:t>成都市大邑县晋原镇建业路北段 180 号</w:t>
            </w:r>
          </w:p>
        </w:tc>
        <w:tc>
          <w:tcPr>
            <w:tcW w:w="1679" w:type="dxa"/>
            <w:vAlign w:val="top"/>
          </w:tcPr>
          <w:p>
            <w:pPr>
              <w:rPr>
                <w:rFonts w:ascii="Times New Roman" w:hAnsi="Times New Roman" w:eastAsia="宋体" w:cs="Times New Roman"/>
                <w:kern w:val="2"/>
                <w:sz w:val="21"/>
                <w:szCs w:val="24"/>
                <w:lang w:val="de-DE" w:eastAsia="ja-JP" w:bidi="ar-SA"/>
              </w:rPr>
            </w:pPr>
            <w:r>
              <w:rPr>
                <w:rFonts w:hint="eastAsia"/>
                <w:lang w:val="de-DE" w:eastAsia="ja-JP"/>
              </w:rPr>
              <w:t>成都市大邑县晋原镇建业路北段 180 号</w:t>
            </w:r>
          </w:p>
        </w:tc>
        <w:tc>
          <w:tcPr>
            <w:tcW w:w="600"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43</w:t>
            </w:r>
          </w:p>
        </w:tc>
        <w:tc>
          <w:tcPr>
            <w:tcW w:w="2182" w:type="dxa"/>
            <w:vAlign w:val="center"/>
          </w:tcPr>
          <w:p>
            <w:pPr>
              <w:rPr>
                <w:rFonts w:ascii="Times New Roman" w:hAnsi="Times New Roman" w:eastAsia="宋体" w:cs="Times New Roman"/>
                <w:kern w:val="2"/>
                <w:sz w:val="21"/>
                <w:szCs w:val="24"/>
                <w:lang w:val="en-US" w:eastAsia="ja-JP" w:bidi="ar-SA"/>
              </w:rPr>
            </w:pPr>
            <w:r>
              <w:t>非公路用旅游观光车的研发、生产、销售</w:t>
            </w:r>
          </w:p>
        </w:tc>
        <w:tc>
          <w:tcPr>
            <w:tcW w:w="1849" w:type="dxa"/>
            <w:vAlign w:val="center"/>
          </w:tcPr>
          <w:p>
            <w:pPr>
              <w:rPr>
                <w:rFonts w:ascii="Times New Roman" w:hAnsi="Times New Roman" w:eastAsia="宋体" w:cs="Times New Roman"/>
                <w:kern w:val="2"/>
                <w:sz w:val="21"/>
                <w:szCs w:val="24"/>
                <w:lang w:val="en-US" w:eastAsia="ja-JP" w:bidi="ar-SA"/>
              </w:rPr>
            </w:pPr>
            <w:r>
              <w:rPr>
                <w:rFonts w:hint="eastAsia" w:ascii="Times New Roman" w:hAnsi="Times New Roman" w:eastAsia="宋体" w:cs="Times New Roman"/>
                <w:lang w:val="de-DE" w:eastAsia="ja-JP"/>
              </w:rPr>
              <w:t>GB/T19001-2016/ISO 9001:2015</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top"/>
          </w:tcPr>
          <w:p>
            <w:pPr>
              <w:rPr>
                <w:rFonts w:ascii="Times New Roman" w:hAnsi="Times New Roman" w:eastAsia="宋体" w:cs="Times New Roman"/>
                <w:kern w:val="2"/>
                <w:sz w:val="21"/>
                <w:szCs w:val="24"/>
                <w:lang w:val="en-US" w:eastAsia="ja-JP" w:bidi="ar-SA"/>
              </w:rPr>
            </w:pPr>
            <w:r>
              <w:rPr>
                <w:sz w:val="21"/>
                <w:szCs w:val="21"/>
              </w:rPr>
              <w:t>道达电动车制造成都有限公司</w:t>
            </w:r>
            <w:r>
              <w:rPr>
                <w:rFonts w:hint="eastAsia"/>
                <w:sz w:val="21"/>
                <w:szCs w:val="21"/>
                <w:lang w:val="en-US" w:eastAsia="zh-CN"/>
              </w:rPr>
              <w:t>/</w:t>
            </w:r>
            <w:r>
              <w:rPr>
                <w:rFonts w:hint="eastAsia"/>
                <w:lang w:val="de-DE" w:eastAsia="ja-JP"/>
              </w:rPr>
              <w:t>成都市大邑县晋原镇建业路北段 180 号</w:t>
            </w:r>
          </w:p>
        </w:tc>
        <w:tc>
          <w:tcPr>
            <w:tcW w:w="1679" w:type="dxa"/>
            <w:vAlign w:val="top"/>
          </w:tcPr>
          <w:p>
            <w:pPr>
              <w:rPr>
                <w:rFonts w:ascii="Times New Roman" w:hAnsi="Times New Roman" w:eastAsia="宋体" w:cs="Times New Roman"/>
                <w:kern w:val="2"/>
                <w:sz w:val="21"/>
                <w:szCs w:val="24"/>
                <w:lang w:val="en-US" w:eastAsia="ja-JP" w:bidi="ar-SA"/>
              </w:rPr>
            </w:pPr>
            <w:r>
              <w:rPr>
                <w:rFonts w:hint="eastAsia"/>
                <w:lang w:val="de-DE" w:eastAsia="ja-JP"/>
              </w:rPr>
              <w:t>成都市大邑县晋原镇建业路北段 180 号</w:t>
            </w:r>
          </w:p>
        </w:tc>
        <w:tc>
          <w:tcPr>
            <w:tcW w:w="600"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43</w:t>
            </w:r>
          </w:p>
        </w:tc>
        <w:tc>
          <w:tcPr>
            <w:tcW w:w="2182" w:type="dxa"/>
            <w:vAlign w:val="center"/>
          </w:tcPr>
          <w:p>
            <w:pPr>
              <w:rPr>
                <w:rFonts w:ascii="Times New Roman" w:hAnsi="Times New Roman" w:eastAsia="宋体" w:cs="Times New Roman"/>
                <w:kern w:val="2"/>
                <w:sz w:val="21"/>
                <w:szCs w:val="24"/>
                <w:lang w:val="en-US" w:eastAsia="ja-JP" w:bidi="ar-SA"/>
              </w:rPr>
            </w:pPr>
            <w:r>
              <w:rPr>
                <w:sz w:val="20"/>
              </w:rPr>
              <w:t>非公路用旅游观光车的研发、生产、销售所涉及的相关职业健康安全管理活动</w:t>
            </w:r>
          </w:p>
        </w:tc>
        <w:tc>
          <w:tcPr>
            <w:tcW w:w="1849" w:type="dxa"/>
            <w:vAlign w:val="center"/>
          </w:tcPr>
          <w:p>
            <w:pPr>
              <w:rPr>
                <w:rFonts w:hint="eastAsia" w:ascii="Times New Roman" w:hAnsi="Times New Roman" w:eastAsia="宋体" w:cs="Times New Roman"/>
                <w:kern w:val="2"/>
                <w:sz w:val="21"/>
                <w:szCs w:val="24"/>
                <w:lang w:val="de-DE" w:eastAsia="ja-JP" w:bidi="ar-SA"/>
              </w:rPr>
            </w:pPr>
            <w:r>
              <w:rPr>
                <w:rFonts w:hint="eastAsia" w:ascii="Times New Roman" w:hAnsi="Times New Roman" w:eastAsia="宋体" w:cs="Times New Roman"/>
                <w:lang w:val="de-DE" w:eastAsia="ja-JP"/>
              </w:rPr>
              <w:t>GB/T24001-2016/ISO 14001:2015</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top"/>
          </w:tcPr>
          <w:p>
            <w:pPr>
              <w:rPr>
                <w:rFonts w:ascii="Times New Roman" w:hAnsi="Times New Roman" w:eastAsia="宋体" w:cs="Times New Roman"/>
                <w:kern w:val="2"/>
                <w:sz w:val="21"/>
                <w:szCs w:val="24"/>
                <w:lang w:val="en-US" w:eastAsia="ja-JP" w:bidi="ar-SA"/>
              </w:rPr>
            </w:pPr>
            <w:r>
              <w:rPr>
                <w:sz w:val="21"/>
                <w:szCs w:val="21"/>
              </w:rPr>
              <w:t>道达电动车制造成都有限公司</w:t>
            </w:r>
            <w:r>
              <w:rPr>
                <w:rFonts w:hint="eastAsia"/>
                <w:sz w:val="21"/>
                <w:szCs w:val="21"/>
                <w:lang w:val="en-US" w:eastAsia="zh-CN"/>
              </w:rPr>
              <w:t>/</w:t>
            </w:r>
            <w:r>
              <w:rPr>
                <w:rFonts w:hint="eastAsia"/>
                <w:lang w:val="de-DE" w:eastAsia="ja-JP"/>
              </w:rPr>
              <w:t>成都市大邑县晋原镇建业路北段 180 号</w:t>
            </w:r>
          </w:p>
        </w:tc>
        <w:tc>
          <w:tcPr>
            <w:tcW w:w="1679" w:type="dxa"/>
            <w:vAlign w:val="top"/>
          </w:tcPr>
          <w:p>
            <w:pPr>
              <w:rPr>
                <w:rFonts w:ascii="Times New Roman" w:hAnsi="Times New Roman" w:eastAsia="宋体" w:cs="Times New Roman"/>
                <w:kern w:val="2"/>
                <w:sz w:val="21"/>
                <w:szCs w:val="24"/>
                <w:lang w:val="en-US" w:eastAsia="ja-JP" w:bidi="ar-SA"/>
              </w:rPr>
            </w:pPr>
            <w:r>
              <w:rPr>
                <w:rFonts w:hint="eastAsia"/>
                <w:lang w:val="de-DE" w:eastAsia="ja-JP"/>
              </w:rPr>
              <w:t>成都市大邑县晋原镇建业路北段 180 号</w:t>
            </w:r>
          </w:p>
        </w:tc>
        <w:tc>
          <w:tcPr>
            <w:tcW w:w="600"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43</w:t>
            </w:r>
          </w:p>
        </w:tc>
        <w:tc>
          <w:tcPr>
            <w:tcW w:w="2182" w:type="dxa"/>
            <w:vAlign w:val="center"/>
          </w:tcPr>
          <w:p>
            <w:pPr>
              <w:rPr>
                <w:rFonts w:ascii="Times New Roman" w:hAnsi="Times New Roman" w:eastAsia="宋体" w:cs="Times New Roman"/>
                <w:kern w:val="2"/>
                <w:sz w:val="21"/>
                <w:szCs w:val="24"/>
                <w:lang w:val="en-US" w:eastAsia="ja-JP" w:bidi="ar-SA"/>
              </w:rPr>
            </w:pPr>
            <w:r>
              <w:rPr>
                <w:sz w:val="20"/>
              </w:rPr>
              <w:t>非公路用旅游观光车的研发、生产、销售所涉及场所的相关环境管理活动</w:t>
            </w:r>
          </w:p>
        </w:tc>
        <w:tc>
          <w:tcPr>
            <w:tcW w:w="1849" w:type="dxa"/>
            <w:vAlign w:val="center"/>
          </w:tcPr>
          <w:p>
            <w:pPr>
              <w:rPr>
                <w:rFonts w:hint="eastAsia" w:ascii="Times New Roman" w:hAnsi="Times New Roman" w:eastAsia="宋体" w:cs="Times New Roman"/>
                <w:kern w:val="2"/>
                <w:sz w:val="21"/>
                <w:szCs w:val="24"/>
                <w:lang w:val="de-DE" w:eastAsia="ja-JP" w:bidi="ar-SA"/>
              </w:rPr>
            </w:pPr>
            <w:r>
              <w:rPr>
                <w:rFonts w:hint="eastAsia" w:ascii="Times New Roman" w:hAnsi="Times New Roman" w:eastAsia="宋体" w:cs="Times New Roman"/>
                <w:lang w:val="de-DE" w:eastAsia="ja-JP"/>
              </w:rPr>
              <w:t>GB/T45001-2020/ISO45001：2020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679" w:type="dxa"/>
            <w:vAlign w:val="center"/>
          </w:tcPr>
          <w:p>
            <w:pPr>
              <w:rPr>
                <w:lang w:eastAsia="ja-JP"/>
              </w:rPr>
            </w:pPr>
          </w:p>
        </w:tc>
        <w:tc>
          <w:tcPr>
            <w:tcW w:w="600" w:type="dxa"/>
            <w:vAlign w:val="center"/>
          </w:tcPr>
          <w:p>
            <w:pPr>
              <w:rPr>
                <w:lang w:eastAsia="ja-JP"/>
              </w:rPr>
            </w:pPr>
          </w:p>
        </w:tc>
        <w:tc>
          <w:tcPr>
            <w:tcW w:w="2182" w:type="dxa"/>
            <w:vAlign w:val="center"/>
          </w:tcPr>
          <w:p>
            <w:pPr>
              <w:rPr>
                <w:lang w:eastAsia="ja-JP"/>
              </w:rPr>
            </w:pPr>
          </w:p>
        </w:tc>
        <w:tc>
          <w:tcPr>
            <w:tcW w:w="184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679" w:type="dxa"/>
            <w:vAlign w:val="center"/>
          </w:tcPr>
          <w:p>
            <w:pPr>
              <w:rPr>
                <w:lang w:eastAsia="ja-JP"/>
              </w:rPr>
            </w:pPr>
          </w:p>
        </w:tc>
        <w:tc>
          <w:tcPr>
            <w:tcW w:w="600" w:type="dxa"/>
            <w:vAlign w:val="center"/>
          </w:tcPr>
          <w:p>
            <w:pPr>
              <w:rPr>
                <w:lang w:eastAsia="ja-JP"/>
              </w:rPr>
            </w:pPr>
          </w:p>
        </w:tc>
        <w:tc>
          <w:tcPr>
            <w:tcW w:w="2182" w:type="dxa"/>
            <w:vAlign w:val="center"/>
          </w:tcPr>
          <w:p>
            <w:pPr>
              <w:rPr>
                <w:lang w:eastAsia="ja-JP"/>
              </w:rPr>
            </w:pPr>
          </w:p>
        </w:tc>
        <w:tc>
          <w:tcPr>
            <w:tcW w:w="184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2022-N1QMS-4093566</w:t>
            </w:r>
          </w:p>
          <w:p>
            <w:r>
              <w:t>2022-N1OHSMS-3093566</w:t>
            </w:r>
          </w:p>
          <w:p>
            <w:r>
              <w:t>2021-N1EMS-3093566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2020-N1QMS-1247783</w:t>
            </w:r>
          </w:p>
          <w:p>
            <w:r>
              <w:t>2021-N1OHSMS-1247783</w:t>
            </w:r>
          </w:p>
          <w:p>
            <w:r>
              <w:t>2019-N1EMS-1247783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姜正忠</w:t>
            </w:r>
          </w:p>
        </w:tc>
        <w:tc>
          <w:tcPr>
            <w:tcW w:w="1089" w:type="dxa"/>
            <w:vAlign w:val="center"/>
          </w:tcPr>
          <w:p>
            <w:r>
              <w:t>组员</w:t>
            </w:r>
          </w:p>
        </w:tc>
        <w:tc>
          <w:tcPr>
            <w:tcW w:w="711" w:type="dxa"/>
            <w:vAlign w:val="center"/>
          </w:tcPr>
          <w:p>
            <w:r>
              <w:t>男</w:t>
            </w:r>
          </w:p>
        </w:tc>
        <w:tc>
          <w:tcPr>
            <w:tcW w:w="3870" w:type="dxa"/>
            <w:vAlign w:val="center"/>
          </w:tcPr>
          <w:p>
            <w:r>
              <w:t>ISC-JSZJ-385</w:t>
            </w:r>
          </w:p>
          <w:p>
            <w:r>
              <w:t>ISC-JSZJ-385</w:t>
            </w:r>
          </w:p>
          <w:p>
            <w:r>
              <w:t>ISC-JSZJ-385</w:t>
            </w:r>
          </w:p>
          <w:p>
            <w:r>
              <w:t>成都创驰底盘系统有限公司</w:t>
            </w:r>
          </w:p>
        </w:tc>
        <w:tc>
          <w:tcPr>
            <w:tcW w:w="2179" w:type="dxa"/>
            <w:vAlign w:val="center"/>
          </w:tcPr>
          <w:p>
            <w:r>
              <w:t>Q:22.01.00</w:t>
            </w:r>
          </w:p>
          <w:p>
            <w:r>
              <w:t>O:22.01.00</w:t>
            </w:r>
          </w:p>
          <w:p>
            <w:r>
              <w:t>E:22.01.00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ascii="Times New Roman" w:hAnsi="Times New Roman" w:eastAsia="宋体" w:cs="Times New Roman"/>
                <w:kern w:val="2"/>
                <w:sz w:val="21"/>
                <w:szCs w:val="24"/>
                <w:lang w:val="en-US" w:eastAsia="zh-CN" w:bidi="ar-SA"/>
              </w:rPr>
            </w:pPr>
            <w:r>
              <w:t>姜正忠</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成都创驰底盘系统有限公司</w:t>
            </w:r>
          </w:p>
        </w:tc>
        <w:tc>
          <w:tcPr>
            <w:tcW w:w="2179" w:type="dxa"/>
            <w:vAlign w:val="center"/>
          </w:tcPr>
          <w:p>
            <w:pPr>
              <w:rPr>
                <w:rFonts w:hint="eastAsia" w:eastAsia="宋体"/>
                <w:lang w:eastAsia="zh-CN"/>
              </w:rPr>
            </w:pPr>
            <w:r>
              <w:rPr>
                <w:rFonts w:hint="eastAsia"/>
                <w:lang w:eastAsia="zh-CN"/>
              </w:rPr>
              <w:t>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由35人变更为43人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bidi w:val="0"/>
              <w:jc w:val="left"/>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监督审核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eastAsia="zh-CN"/>
              </w:rPr>
              <w:t>上次不符合为</w:t>
            </w:r>
            <w:r>
              <w:rPr>
                <w:rFonts w:hint="eastAsia"/>
                <w:lang w:val="en-US" w:eastAsia="zh-CN"/>
              </w:rPr>
              <w:t>Q7.1.5/8.4.1，本次审核无类似不符合发生，整改有效。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非公路用旅游观光车的研发、生产、销售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非公路用旅游观光车的研发、生产、销售所涉及场所的相关环境管理活动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sz w:val="20"/>
              </w:rPr>
            </w:pPr>
            <w:r>
              <w:rPr>
                <w:sz w:val="20"/>
              </w:rPr>
              <w:t>非公路用旅游观光车的研发、生产、销售所涉及的相关职业健康安全管理活动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233680</wp:posOffset>
                  </wp:positionH>
                  <wp:positionV relativeFrom="paragraph">
                    <wp:posOffset>94615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000000" w:themeColor="text1"/>
                <w:szCs w:val="21"/>
                <w:lang w:val="en-US" w:eastAsia="zh-CN"/>
              </w:rPr>
              <w:t>2022.8.3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最高管理者制定了文件化的管理体系方针：把握市场靠质量 客户满意靠真诚</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ascii="宋体" w:hAnsi="宋体" w:cs="新宋体"/>
                <w:sz w:val="21"/>
                <w:szCs w:val="21"/>
                <w:lang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7"/>
              <w:gridCol w:w="444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shd w:val="clear" w:color="auto" w:fill="C7DAF1" w:themeFill="text2" w:themeFillTint="32"/>
                  </w:pPr>
                  <w:r>
                    <w:rPr>
                      <w:rFonts w:hint="eastAsia"/>
                    </w:rPr>
                    <w:t>主要的风险或机遇描述</w:t>
                  </w:r>
                </w:p>
              </w:tc>
              <w:tc>
                <w:tcPr>
                  <w:tcW w:w="4448"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4448"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4448"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shd w:val="clear" w:color="auto" w:fill="C7DAF1" w:themeFill="text2" w:themeFillTint="32"/>
                  </w:pPr>
                </w:p>
              </w:tc>
              <w:tc>
                <w:tcPr>
                  <w:tcW w:w="4448"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shd w:val="clear" w:color="auto" w:fill="C7DAF1" w:themeFill="text2" w:themeFillTint="32"/>
                  </w:pPr>
                </w:p>
              </w:tc>
              <w:tc>
                <w:tcPr>
                  <w:tcW w:w="4448"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产品交付合格率100%</w:t>
                  </w:r>
                </w:p>
              </w:tc>
              <w:tc>
                <w:tcPr>
                  <w:tcW w:w="3136"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rPr>
                    <w:t>交付合格数/交付总数*100%</w:t>
                  </w:r>
                </w:p>
              </w:tc>
              <w:tc>
                <w:tcPr>
                  <w:tcW w:w="1350" w:type="dxa"/>
                  <w:shd w:val="clear" w:color="auto" w:fill="auto"/>
                  <w:vAlign w:val="center"/>
                </w:tcPr>
                <w:p>
                  <w:pPr>
                    <w:shd w:val="clear" w:color="auto" w:fill="C7DAF1" w:themeFill="text2" w:themeFillTint="32"/>
                    <w:rPr>
                      <w:rFonts w:hint="eastAsia" w:ascii="宋体" w:hAnsi="宋体" w:eastAsia="宋体" w:cs="Times New Roman"/>
                      <w:lang w:val="en-GB"/>
                    </w:rPr>
                  </w:pPr>
                  <w:r>
                    <w:rPr>
                      <w:rFonts w:hint="eastAsia" w:ascii="宋体" w:hAnsi="宋体" w:cs="Times New Roman"/>
                      <w:lang w:val="en-US" w:eastAsia="zh-CN"/>
                    </w:rPr>
                    <w:t>生产技术部</w:t>
                  </w:r>
                </w:p>
              </w:tc>
              <w:tc>
                <w:tcPr>
                  <w:tcW w:w="1774" w:type="dxa"/>
                  <w:shd w:val="clear" w:color="auto" w:fill="auto"/>
                  <w:vAlign w:val="center"/>
                </w:tcPr>
                <w:p>
                  <w:pPr>
                    <w:shd w:val="clear" w:color="auto" w:fill="C7DAF1" w:themeFill="text2" w:themeFillTint="32"/>
                    <w:rPr>
                      <w:rFonts w:hint="eastAsia" w:ascii="宋体" w:hAnsi="宋体" w:eastAsia="宋体" w:cs="Times New Roman"/>
                      <w:lang w:val="en-GB"/>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合同按时完成率100%</w:t>
                  </w:r>
                </w:p>
              </w:tc>
              <w:tc>
                <w:tcPr>
                  <w:tcW w:w="3136"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rPr>
                    <w:t>按时完成数/合同总数*100%</w:t>
                  </w:r>
                </w:p>
              </w:tc>
              <w:tc>
                <w:tcPr>
                  <w:tcW w:w="1350"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lang w:val="en-US" w:eastAsia="zh-CN"/>
                    </w:rPr>
                    <w:t>购销部</w:t>
                  </w:r>
                </w:p>
              </w:tc>
              <w:tc>
                <w:tcPr>
                  <w:tcW w:w="1774"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顾客满意率≥96分</w:t>
                  </w:r>
                </w:p>
              </w:tc>
              <w:tc>
                <w:tcPr>
                  <w:tcW w:w="3136"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满意得分和/总调查数</w:t>
                  </w:r>
                </w:p>
              </w:tc>
              <w:tc>
                <w:tcPr>
                  <w:tcW w:w="1350"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lang w:val="en-US" w:eastAsia="zh-CN"/>
                    </w:rPr>
                    <w:t>购销部</w:t>
                  </w:r>
                </w:p>
              </w:tc>
              <w:tc>
                <w:tcPr>
                  <w:tcW w:w="1774"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highlight w:val="none"/>
                      <w:lang w:val="en-US" w:eastAsia="zh-CN"/>
                    </w:rPr>
                    <w:t>96</w:t>
                  </w:r>
                  <w:r>
                    <w:rPr>
                      <w:rFonts w:hint="eastAsia" w:ascii="宋体" w:hAnsi="宋体" w:cs="Times New Roman"/>
                      <w:highlight w:val="none"/>
                      <w:lang w:val="en-US" w:eastAsia="zh-CN"/>
                    </w:rPr>
                    <w:t>分</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eastAsia="宋体"/>
                <w:highlight w:val="none"/>
                <w:lang w:eastAsia="zh-CN"/>
              </w:rPr>
            </w:pPr>
            <w:r>
              <w:rPr>
                <w:rFonts w:hint="eastAsia"/>
                <w:highlight w:val="none"/>
                <w:lang w:eastAsia="zh-CN"/>
              </w:rPr>
              <w:t>建筑面积6500平方米；生产车间1个；库房1个；实验室0个；</w:t>
            </w:r>
          </w:p>
          <w:p>
            <w:pPr>
              <w:shd w:val="clear" w:color="auto" w:fill="C7DAF1" w:themeFill="text2" w:themeFillTint="32"/>
              <w:rPr>
                <w:highlight w:val="none"/>
                <w:u w:val="single"/>
              </w:rPr>
            </w:pPr>
            <w:r>
              <w:rPr>
                <w:rFonts w:hint="eastAsia"/>
                <w:highlight w:val="none"/>
              </w:rPr>
              <w:t>主要生产设备有：</w:t>
            </w:r>
            <w:r>
              <w:rPr>
                <w:rFonts w:hint="eastAsia"/>
                <w:highlight w:val="none"/>
                <w:u w:val="single"/>
              </w:rPr>
              <w:t>（电脑及办公设备、装配线、折弯机、切割机、焊机、焊接工装、举升机、充电机、润滑油清洗机、扒胎机、千斤顶等）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计量器具</w:t>
            </w:r>
            <w:r>
              <w:rPr>
                <w:rFonts w:hint="eastAsia" w:ascii="Wingdings" w:hAnsi="Wingdings"/>
                <w:highlight w:val="none"/>
                <w:lang w:eastAsia="zh-CN"/>
              </w:rPr>
              <w:t>□</w:t>
            </w:r>
            <w:r>
              <w:rPr>
                <w:rFonts w:hint="eastAsia"/>
                <w:highlight w:val="none"/>
              </w:rPr>
              <w:t>服务流程检查表</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方法：</w:t>
            </w:r>
            <w:r>
              <w:rPr>
                <w:rFonts w:hint="eastAsia" w:ascii="Wingdings" w:hAnsi="Wingdings"/>
                <w:highlight w:val="none"/>
                <w:lang w:eastAsia="zh-CN"/>
              </w:rPr>
              <w:t>□</w:t>
            </w:r>
            <w:r>
              <w:rPr>
                <w:rFonts w:hint="eastAsia"/>
                <w:highlight w:val="none"/>
              </w:rPr>
              <w:t>自校</w:t>
            </w:r>
            <w:r>
              <w:rPr>
                <w:rFonts w:hint="eastAsia" w:ascii="Wingdings" w:hAnsi="Wingdings"/>
                <w:highlight w:val="none"/>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国家强检的计量器具有：</w:t>
            </w:r>
            <w:r>
              <w:rPr>
                <w:rFonts w:hint="eastAsia"/>
                <w:highlight w:val="none"/>
                <w:u w:val="single"/>
              </w:rPr>
              <w:t>（</w:t>
            </w:r>
            <w:r>
              <w:rPr>
                <w:rFonts w:hint="eastAsia"/>
                <w:highlight w:val="none"/>
                <w:u w:val="single"/>
                <w:lang w:eastAsia="zh-CN"/>
              </w:rPr>
              <w:t>前照灯检测仪、转向参数测试仪、转速表、声级计、绝缘电阻测试仪、数字钳形表、红外测温仪、压力表、扭矩扳子、千分尺、角度尺等</w:t>
            </w:r>
            <w:r>
              <w:rPr>
                <w:rFonts w:hint="eastAsia"/>
                <w:highlight w:val="none"/>
                <w:u w:val="single"/>
              </w:rPr>
              <w:t>）</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组织建立、实施和保持了适当的设计和开发过程，以确保后续的产品和服务的提供。（适用时）</w:t>
            </w:r>
          </w:p>
          <w:p>
            <w:pPr>
              <w:shd w:val="clear" w:color="auto" w:fill="C7DAF1" w:themeFill="text2" w:themeFillTint="32"/>
              <w:rPr>
                <w:highlight w:val="none"/>
              </w:rPr>
            </w:pPr>
            <w:r>
              <w:rPr>
                <w:rFonts w:hint="eastAsia"/>
                <w:highlight w:val="none"/>
              </w:rPr>
              <w:t>审核期间内设计和开发新产品/项目名称：</w:t>
            </w:r>
            <w:r>
              <w:rPr>
                <w:rFonts w:hint="eastAsia"/>
                <w:highlight w:val="none"/>
                <w:u w:val="single"/>
              </w:rPr>
              <w:t>（DDGD-Panda14人蓄电池观光车</w:t>
            </w:r>
            <w:r>
              <w:rPr>
                <w:rFonts w:hint="eastAsia"/>
                <w:highlight w:val="none"/>
              </w:rPr>
              <w:t>）</w:t>
            </w:r>
          </w:p>
          <w:p>
            <w:pPr>
              <w:shd w:val="clear" w:color="auto" w:fill="C7DAF1" w:themeFill="text2" w:themeFillTint="32"/>
              <w:rPr>
                <w:highlight w:val="none"/>
              </w:rPr>
            </w:pPr>
            <w:r>
              <w:rPr>
                <w:rFonts w:hint="eastAsia"/>
                <w:highlight w:val="none"/>
              </w:rPr>
              <w:t>该项目的设计和开发的输入、输出、变更进行了控制。</w:t>
            </w:r>
          </w:p>
          <w:p>
            <w:pPr>
              <w:shd w:val="clear" w:color="auto" w:fill="C7DAF1" w:themeFill="text2" w:themeFillTint="32"/>
            </w:pPr>
            <w:r>
              <w:rPr>
                <w:rFonts w:hint="eastAsia"/>
                <w:highlight w:val="none"/>
              </w:rPr>
              <w:t>设计和开发控制：</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7"/>
              <w:gridCol w:w="263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7" w:type="dxa"/>
                </w:tcPr>
                <w:p>
                  <w:pPr>
                    <w:shd w:val="clear" w:color="auto" w:fill="C7DAF1" w:themeFill="text2" w:themeFillTint="32"/>
                    <w:jc w:val="left"/>
                  </w:pPr>
                  <w:r>
                    <w:rPr>
                      <w:rFonts w:hint="eastAsia"/>
                    </w:rPr>
                    <w:t>产品/服务名称</w:t>
                  </w:r>
                </w:p>
              </w:tc>
              <w:tc>
                <w:tcPr>
                  <w:tcW w:w="2630"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7" w:type="dxa"/>
                  <w:vAlign w:val="top"/>
                </w:tcPr>
                <w:p>
                  <w:pPr>
                    <w:shd w:val="clear" w:color="auto" w:fill="C7DAF1" w:themeFill="text2" w:themeFillTint="32"/>
                    <w:jc w:val="left"/>
                  </w:pPr>
                  <w:r>
                    <w:rPr>
                      <w:rFonts w:hint="eastAsia"/>
                      <w:lang w:eastAsia="zh-CN"/>
                    </w:rPr>
                    <w:t>非公路用旅游观光车的研发、生产、销售</w:t>
                  </w:r>
                </w:p>
              </w:tc>
              <w:tc>
                <w:tcPr>
                  <w:tcW w:w="2630" w:type="dxa"/>
                  <w:vAlign w:val="top"/>
                </w:tcPr>
                <w:p>
                  <w:pPr>
                    <w:shd w:val="clear" w:color="auto" w:fill="C7DAF1" w:themeFill="text2" w:themeFillTint="32"/>
                    <w:jc w:val="left"/>
                  </w:pPr>
                  <w:r>
                    <w:rPr>
                      <w:rFonts w:hint="eastAsia"/>
                    </w:rPr>
                    <w:t>装配、调试</w:t>
                  </w:r>
                </w:p>
              </w:tc>
              <w:tc>
                <w:tcPr>
                  <w:tcW w:w="3265" w:type="dxa"/>
                  <w:vAlign w:val="top"/>
                </w:tcPr>
                <w:p>
                  <w:pPr>
                    <w:shd w:val="clear" w:color="auto" w:fill="C7DAF1" w:themeFill="text2" w:themeFillTint="32"/>
                    <w:jc w:val="left"/>
                  </w:pPr>
                  <w:r>
                    <w:rPr>
                      <w:rFonts w:hint="eastAsia"/>
                      <w:lang w:eastAsia="zh-CN"/>
                    </w:rPr>
                    <w:t>尺寸、性能等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7" w:type="dxa"/>
                </w:tcPr>
                <w:p>
                  <w:pPr>
                    <w:shd w:val="clear" w:color="auto" w:fill="C7DAF1" w:themeFill="text2" w:themeFillTint="32"/>
                    <w:jc w:val="left"/>
                  </w:pPr>
                </w:p>
              </w:tc>
              <w:tc>
                <w:tcPr>
                  <w:tcW w:w="2630"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7" w:type="dxa"/>
                </w:tcPr>
                <w:p>
                  <w:pPr>
                    <w:shd w:val="clear" w:color="auto" w:fill="C7DAF1" w:themeFill="text2" w:themeFillTint="32"/>
                    <w:jc w:val="left"/>
                  </w:pPr>
                </w:p>
              </w:tc>
              <w:tc>
                <w:tcPr>
                  <w:tcW w:w="2630"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rPr>
                <w:rFonts w:hint="eastAsia" w:eastAsia="宋体"/>
                <w:highlight w:val="none"/>
                <w:lang w:eastAsia="zh-CN"/>
              </w:rPr>
            </w:pPr>
            <w:r>
              <w:rPr>
                <w:rFonts w:hint="eastAsia"/>
                <w:highlight w:val="none"/>
                <w:lang w:eastAsia="zh-CN"/>
              </w:rPr>
              <w:t>《型式检验报告》，如：报告编号：21-Z-1001。</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highlight w:val="none"/>
                <w:lang w:val="en-US" w:eastAsia="zh-CN"/>
              </w:rPr>
              <w:t>2022年3月17日至3月18日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highlight w:val="none"/>
                <w:lang w:val="en-US" w:eastAsia="zh-CN"/>
              </w:rPr>
              <w:t>2022年4月9日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w:t>
                  </w:r>
                  <w:r>
                    <w:rPr>
                      <w:rFonts w:hint="eastAsia"/>
                      <w:lang w:eastAsia="zh-CN"/>
                    </w:rPr>
                    <w:t>☑</w:t>
                  </w:r>
                  <w:r>
                    <w:rPr>
                      <w:rFonts w:hint="eastAsia"/>
                    </w:rPr>
                    <w:t>文化</w:t>
                  </w:r>
                  <w:r>
                    <w:rPr>
                      <w:rFonts w:hint="eastAsia"/>
                      <w:lang w:eastAsia="zh-CN"/>
                    </w:rPr>
                    <w:t>☑</w:t>
                  </w:r>
                  <w:r>
                    <w:rPr>
                      <w:rFonts w:hint="eastAsia"/>
                    </w:rPr>
                    <w:t>知识□绩效□工艺□设备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w:t>
            </w:r>
            <w:r>
              <w:rPr>
                <w:rFonts w:hint="eastAsia"/>
                <w:lang w:eastAsia="zh-CN"/>
              </w:rPr>
              <w:t>☑</w:t>
            </w:r>
            <w:r>
              <w:rPr>
                <w:rFonts w:hint="eastAsia"/>
              </w:rPr>
              <w:t>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最高管理者制定了文件化的管理体系方针：坚持走可持续发展之路，倡导绿色环保思想，遵守法律法规，从产品服务的全过程中，实行污染预防和持续改进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2"/>
              <w:gridCol w:w="44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tcPr>
                <w:p>
                  <w:pPr>
                    <w:shd w:val="clear" w:color="auto" w:fill="EBF1DE" w:themeFill="accent3" w:themeFillTint="32"/>
                  </w:pPr>
                  <w:r>
                    <w:rPr>
                      <w:rFonts w:hint="eastAsia"/>
                    </w:rPr>
                    <w:t>主要的风险或机遇描述</w:t>
                  </w:r>
                </w:p>
              </w:tc>
              <w:tc>
                <w:tcPr>
                  <w:tcW w:w="4433"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sz w:val="21"/>
                      <w:szCs w:val="21"/>
                      <w:highlight w:val="none"/>
                    </w:rPr>
                    <w:t>潜在火灾</w:t>
                  </w:r>
                </w:p>
              </w:tc>
              <w:tc>
                <w:tcPr>
                  <w:tcW w:w="4433"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vAlign w:val="center"/>
                </w:tcPr>
                <w:p>
                  <w:pPr>
                    <w:shd w:val="clear" w:color="auto" w:fill="EBF1DE" w:themeFill="accent3" w:themeFillTint="32"/>
                    <w:rPr>
                      <w:rFonts w:hint="default"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sz w:val="21"/>
                      <w:szCs w:val="21"/>
                      <w:highlight w:val="none"/>
                    </w:rPr>
                    <w:t>固废排放</w:t>
                  </w:r>
                </w:p>
              </w:tc>
              <w:tc>
                <w:tcPr>
                  <w:tcW w:w="4433"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highlight w:val="none"/>
                      <w:lang w:eastAsia="zh-CN"/>
                    </w:rPr>
                  </w:pPr>
                  <w:r>
                    <w:rPr>
                      <w:rFonts w:hint="eastAsia" w:cs="Times New Roman" w:asciiTheme="minorEastAsia" w:hAnsiTheme="minorEastAsia" w:eastAsiaTheme="minorEastAsia"/>
                      <w:b w:val="0"/>
                      <w:bCs w:val="0"/>
                      <w:sz w:val="21"/>
                      <w:szCs w:val="21"/>
                      <w:highlight w:val="none"/>
                      <w:lang w:eastAsia="zh-CN"/>
                    </w:rPr>
                    <w:t>废水排放</w:t>
                  </w:r>
                </w:p>
              </w:tc>
              <w:tc>
                <w:tcPr>
                  <w:tcW w:w="4433"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highlight w:val="none"/>
                      <w:lang w:eastAsia="zh-CN"/>
                    </w:rPr>
                  </w:pPr>
                  <w:r>
                    <w:rPr>
                      <w:rFonts w:hint="eastAsia" w:cs="Times New Roman" w:asciiTheme="minorEastAsia" w:hAnsiTheme="minorEastAsia" w:eastAsiaTheme="minorEastAsia"/>
                      <w:b w:val="0"/>
                      <w:bCs w:val="0"/>
                      <w:sz w:val="21"/>
                      <w:szCs w:val="21"/>
                      <w:highlight w:val="none"/>
                      <w:lang w:eastAsia="zh-CN"/>
                    </w:rPr>
                    <w:t>噪声排放</w:t>
                  </w:r>
                </w:p>
              </w:tc>
              <w:tc>
                <w:tcPr>
                  <w:tcW w:w="4433"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val="en-US" w:eastAsia="zh-CN"/>
              </w:rPr>
            </w:pPr>
            <w:r>
              <w:rPr>
                <w:rFonts w:hint="eastAsia"/>
                <w:highlight w:val="none"/>
              </w:rPr>
              <w:t>□能源消耗□资源消耗</w:t>
            </w:r>
            <w:r>
              <w:rPr>
                <w:rFonts w:hint="eastAsia"/>
                <w:highlight w:val="none"/>
                <w:lang w:eastAsia="zh-CN"/>
              </w:rPr>
              <w:t>☑</w:t>
            </w:r>
            <w:r>
              <w:rPr>
                <w:rFonts w:hint="eastAsia"/>
                <w:highlight w:val="none"/>
              </w:rPr>
              <w:t>废水排放</w:t>
            </w:r>
            <w:r>
              <w:rPr>
                <w:rFonts w:hint="eastAsia"/>
                <w:highlight w:val="none"/>
                <w:lang w:eastAsia="zh-CN"/>
              </w:rPr>
              <w:t>□</w:t>
            </w:r>
            <w:r>
              <w:rPr>
                <w:rFonts w:hint="eastAsia"/>
                <w:highlight w:val="none"/>
              </w:rPr>
              <w:t>废气排放□粉尘排放□危废排放</w:t>
            </w:r>
            <w:r>
              <w:rPr>
                <w:rFonts w:hint="eastAsia"/>
                <w:highlight w:val="none"/>
                <w:lang w:eastAsia="zh-CN"/>
              </w:rPr>
              <w:t>☑</w:t>
            </w:r>
            <w:r>
              <w:rPr>
                <w:rFonts w:hint="eastAsia"/>
                <w:highlight w:val="none"/>
              </w:rPr>
              <w:t>噪声排放□危化品泄露□压力容器爆炸</w:t>
            </w:r>
            <w:r>
              <w:rPr>
                <w:rFonts w:hint="eastAsia"/>
                <w:highlight w:val="none"/>
                <w:lang w:eastAsia="zh-CN"/>
              </w:rPr>
              <w:t>☑</w:t>
            </w:r>
            <w:r>
              <w:rPr>
                <w:rFonts w:hint="eastAsia"/>
                <w:highlight w:val="none"/>
              </w:rPr>
              <w:t>火灾</w:t>
            </w:r>
            <w:r>
              <w:rPr>
                <w:rFonts w:hint="eastAsia"/>
                <w:highlight w:val="none"/>
                <w:lang w:eastAsia="zh-CN"/>
              </w:rPr>
              <w:t>☑</w:t>
            </w:r>
            <w:r>
              <w:rPr>
                <w:rFonts w:hint="eastAsia"/>
                <w:highlight w:val="none"/>
              </w:rPr>
              <w:t>其他</w:t>
            </w:r>
            <w:r>
              <w:rPr>
                <w:rFonts w:hint="eastAsia"/>
                <w:highlight w:val="none"/>
                <w:lang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lang w:eastAsia="zh-CN"/>
              </w:rPr>
              <w:t>☑</w:t>
            </w:r>
            <w:r>
              <w:rPr>
                <w:rFonts w:hint="eastAsia"/>
              </w:rPr>
              <w:t>环境影响报告表日期：2021 年 07 月 19 日~20 日</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组织策划并采取措施管理其重要环境因素、合规义务和识别的风险和机遇；</w:t>
            </w:r>
          </w:p>
          <w:p>
            <w:pPr>
              <w:shd w:val="clear" w:color="auto" w:fill="EBF1DE" w:themeFill="accent3" w:themeFillTint="32"/>
              <w:rPr>
                <w:highlight w:val="none"/>
              </w:rPr>
            </w:pPr>
            <w:r>
              <w:rPr>
                <w:rFonts w:hint="eastAsia"/>
                <w:highlight w:val="none"/>
                <w:lang w:eastAsia="zh-CN"/>
              </w:rPr>
              <w:t>☑</w:t>
            </w:r>
            <w:r>
              <w:rPr>
                <w:rFonts w:hint="eastAsia"/>
                <w:highlight w:val="none"/>
              </w:rPr>
              <w:t>污水处理□除尘设备</w:t>
            </w:r>
            <w:r>
              <w:rPr>
                <w:rFonts w:hint="eastAsia"/>
                <w:highlight w:val="none"/>
                <w:lang w:eastAsia="zh-CN"/>
              </w:rPr>
              <w:t>☑</w:t>
            </w:r>
            <w:r>
              <w:rPr>
                <w:rFonts w:hint="eastAsia"/>
                <w:highlight w:val="none"/>
              </w:rPr>
              <w:t>设备降噪</w:t>
            </w:r>
            <w:r>
              <w:rPr>
                <w:rFonts w:hint="eastAsia"/>
                <w:highlight w:val="none"/>
                <w:lang w:eastAsia="zh-CN"/>
              </w:rPr>
              <w:t>☑</w:t>
            </w:r>
            <w:r>
              <w:rPr>
                <w:rFonts w:hint="eastAsia"/>
                <w:highlight w:val="none"/>
              </w:rPr>
              <w:t>危废合法处置□使用节能设备□危化品控制</w:t>
            </w:r>
          </w:p>
          <w:p>
            <w:pPr>
              <w:shd w:val="clear" w:color="auto" w:fill="EBF1DE" w:themeFill="accent3" w:themeFillTint="32"/>
              <w:rPr>
                <w:highlight w:val="cyan"/>
              </w:rPr>
            </w:pPr>
            <w:r>
              <w:rPr>
                <w:rFonts w:hint="eastAsia"/>
                <w:highlight w:val="none"/>
              </w:rPr>
              <w:t>□压力容器检测</w:t>
            </w:r>
            <w:r>
              <w:rPr>
                <w:rFonts w:hint="eastAsia"/>
                <w:highlight w:val="none"/>
                <w:lang w:eastAsia="zh-CN"/>
              </w:rPr>
              <w:t>☑</w:t>
            </w:r>
            <w:r>
              <w:rPr>
                <w:rFonts w:hint="eastAsia"/>
                <w:highlight w:val="none"/>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7"/>
              <w:gridCol w:w="2415"/>
              <w:gridCol w:w="112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7"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41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25"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56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7"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GB" w:eastAsia="zh-CN"/>
                    </w:rPr>
                  </w:pPr>
                  <w:r>
                    <w:rPr>
                      <w:rFonts w:hint="eastAsia" w:ascii="Times New Roman" w:hAnsi="Times New Roman" w:eastAsia="宋体" w:cs="Times New Roman"/>
                      <w:color w:val="000000"/>
                      <w:szCs w:val="18"/>
                      <w:highlight w:val="none"/>
                      <w:lang w:val="en-US" w:eastAsia="zh-CN"/>
                    </w:rPr>
                    <w:t>生产、生活废弃物分类收集处理率100%</w:t>
                  </w:r>
                </w:p>
              </w:tc>
              <w:tc>
                <w:tcPr>
                  <w:tcW w:w="2415"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US" w:eastAsia="zh-CN"/>
                    </w:rPr>
                  </w:pPr>
                  <w:r>
                    <w:rPr>
                      <w:rFonts w:hint="eastAsia" w:cs="Times New Roman"/>
                      <w:color w:val="000000"/>
                      <w:szCs w:val="18"/>
                      <w:highlight w:val="none"/>
                      <w:lang w:val="en-US" w:eastAsia="zh-CN"/>
                    </w:rPr>
                    <w:t>管理方案</w:t>
                  </w:r>
                </w:p>
              </w:tc>
              <w:tc>
                <w:tcPr>
                  <w:tcW w:w="1125"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GB" w:eastAsia="zh-CN"/>
                    </w:rPr>
                  </w:pPr>
                  <w:r>
                    <w:rPr>
                      <w:rFonts w:hint="eastAsia"/>
                      <w:highlight w:val="none"/>
                      <w:lang w:val="en-US" w:eastAsia="zh-CN"/>
                    </w:rPr>
                    <w:t>行政部</w:t>
                  </w:r>
                </w:p>
              </w:tc>
              <w:tc>
                <w:tcPr>
                  <w:tcW w:w="1564" w:type="dxa"/>
                  <w:shd w:val="clear" w:color="auto" w:fill="auto"/>
                  <w:vAlign w:val="center"/>
                </w:tcPr>
                <w:p>
                  <w:pPr>
                    <w:shd w:val="clear" w:color="auto" w:fill="EBF1DE" w:themeFill="accent3" w:themeFillTint="32"/>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7"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GB" w:eastAsia="zh-CN"/>
                    </w:rPr>
                  </w:pPr>
                  <w:r>
                    <w:rPr>
                      <w:rFonts w:hint="eastAsia" w:ascii="Times New Roman" w:hAnsi="Times New Roman" w:eastAsia="宋体" w:cs="Times New Roman"/>
                      <w:color w:val="000000"/>
                      <w:szCs w:val="18"/>
                      <w:highlight w:val="none"/>
                      <w:lang w:val="en-US" w:eastAsia="zh-CN"/>
                    </w:rPr>
                    <w:t>火灾事故为0</w:t>
                  </w:r>
                </w:p>
              </w:tc>
              <w:tc>
                <w:tcPr>
                  <w:tcW w:w="2415"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US" w:eastAsia="zh-CN"/>
                    </w:rPr>
                  </w:pPr>
                  <w:r>
                    <w:rPr>
                      <w:rFonts w:hint="eastAsia" w:cs="Times New Roman"/>
                      <w:color w:val="000000"/>
                      <w:szCs w:val="18"/>
                      <w:highlight w:val="none"/>
                      <w:lang w:val="en-US" w:eastAsia="zh-CN"/>
                    </w:rPr>
                    <w:t>管理方案，应急预案</w:t>
                  </w:r>
                </w:p>
              </w:tc>
              <w:tc>
                <w:tcPr>
                  <w:tcW w:w="1125"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GB" w:eastAsia="zh-CN"/>
                    </w:rPr>
                  </w:pPr>
                  <w:r>
                    <w:rPr>
                      <w:rFonts w:hint="eastAsia" w:ascii="宋体" w:hAnsi="宋体"/>
                      <w:highlight w:val="none"/>
                      <w:lang w:val="en-US" w:eastAsia="zh-CN"/>
                    </w:rPr>
                    <w:t>行政部</w:t>
                  </w:r>
                </w:p>
              </w:tc>
              <w:tc>
                <w:tcPr>
                  <w:tcW w:w="1564" w:type="dxa"/>
                  <w:shd w:val="clear" w:color="auto" w:fill="auto"/>
                  <w:vAlign w:val="center"/>
                </w:tcPr>
                <w:p>
                  <w:pPr>
                    <w:shd w:val="clear" w:color="auto" w:fill="EBF1DE" w:themeFill="accent3" w:themeFillTint="32"/>
                    <w:jc w:val="center"/>
                    <w:rPr>
                      <w:rFonts w:hint="eastAsia" w:ascii="Times New Roman" w:hAnsi="Times New Roman" w:eastAsia="宋体" w:cs="Times New Roman"/>
                      <w:highlight w:val="none"/>
                      <w:lang w:val="en-GB"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7" w:type="dxa"/>
                  <w:shd w:val="clear" w:color="auto" w:fill="auto"/>
                  <w:vAlign w:val="center"/>
                </w:tcPr>
                <w:p>
                  <w:pPr>
                    <w:shd w:val="clear" w:color="auto" w:fill="EBF1DE" w:themeFill="accent3" w:themeFillTint="32"/>
                    <w:rPr>
                      <w:highlight w:val="none"/>
                    </w:rPr>
                  </w:pPr>
                  <w:r>
                    <w:rPr>
                      <w:rFonts w:hint="eastAsia" w:ascii="Times New Roman" w:hAnsi="Times New Roman" w:eastAsia="宋体" w:cs="Times New Roman"/>
                      <w:color w:val="000000"/>
                      <w:szCs w:val="18"/>
                      <w:highlight w:val="none"/>
                      <w:lang w:val="en-US" w:eastAsia="zh-CN"/>
                    </w:rPr>
                    <w:t>环境扰民投诉为0</w:t>
                  </w:r>
                </w:p>
              </w:tc>
              <w:tc>
                <w:tcPr>
                  <w:tcW w:w="2415" w:type="dxa"/>
                  <w:shd w:val="clear" w:color="auto" w:fill="auto"/>
                  <w:vAlign w:val="center"/>
                </w:tcPr>
                <w:p>
                  <w:pPr>
                    <w:shd w:val="clear" w:color="auto" w:fill="EBF1DE" w:themeFill="accent3" w:themeFillTint="32"/>
                    <w:rPr>
                      <w:rFonts w:ascii="宋体" w:hAnsi="宋体"/>
                      <w:highlight w:val="none"/>
                    </w:rPr>
                  </w:pPr>
                  <w:r>
                    <w:rPr>
                      <w:rFonts w:hint="eastAsia" w:cs="Times New Roman"/>
                      <w:color w:val="000000"/>
                      <w:szCs w:val="18"/>
                      <w:highlight w:val="none"/>
                      <w:lang w:val="en-US" w:eastAsia="zh-CN"/>
                    </w:rPr>
                    <w:t>管理方案</w:t>
                  </w:r>
                </w:p>
              </w:tc>
              <w:tc>
                <w:tcPr>
                  <w:tcW w:w="1125" w:type="dxa"/>
                  <w:shd w:val="clear" w:color="auto" w:fill="auto"/>
                  <w:vAlign w:val="center"/>
                </w:tcPr>
                <w:p>
                  <w:pPr>
                    <w:shd w:val="clear" w:color="auto" w:fill="EBF1DE" w:themeFill="accent3" w:themeFillTint="32"/>
                    <w:rPr>
                      <w:rFonts w:ascii="宋体" w:hAnsi="宋体"/>
                      <w:highlight w:val="none"/>
                    </w:rPr>
                  </w:pPr>
                  <w:r>
                    <w:rPr>
                      <w:rFonts w:hint="eastAsia" w:ascii="宋体" w:hAnsi="宋体"/>
                      <w:highlight w:val="none"/>
                      <w:lang w:val="en-US" w:eastAsia="zh-CN"/>
                    </w:rPr>
                    <w:t>行政部</w:t>
                  </w:r>
                </w:p>
              </w:tc>
              <w:tc>
                <w:tcPr>
                  <w:tcW w:w="1564" w:type="dxa"/>
                  <w:shd w:val="clear" w:color="auto" w:fill="auto"/>
                  <w:vAlign w:val="center"/>
                </w:tcPr>
                <w:p>
                  <w:pPr>
                    <w:shd w:val="clear" w:color="auto" w:fill="EBF1DE" w:themeFill="accent3" w:themeFillTint="32"/>
                    <w:jc w:val="center"/>
                    <w:rPr>
                      <w:rFonts w:ascii="宋体" w:hAnsi="宋体"/>
                      <w:highlight w:val="none"/>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7" w:type="dxa"/>
                  <w:shd w:val="clear" w:color="auto" w:fill="auto"/>
                </w:tcPr>
                <w:p>
                  <w:pPr>
                    <w:shd w:val="clear" w:color="auto" w:fill="EBF1DE" w:themeFill="accent3" w:themeFillTint="32"/>
                  </w:pPr>
                </w:p>
              </w:tc>
              <w:tc>
                <w:tcPr>
                  <w:tcW w:w="2415" w:type="dxa"/>
                  <w:shd w:val="clear" w:color="auto" w:fill="auto"/>
                  <w:vAlign w:val="center"/>
                </w:tcPr>
                <w:p>
                  <w:pPr>
                    <w:shd w:val="clear" w:color="auto" w:fill="EBF1DE" w:themeFill="accent3" w:themeFillTint="32"/>
                    <w:rPr>
                      <w:rFonts w:ascii="宋体" w:hAnsi="宋体"/>
                    </w:rPr>
                  </w:pPr>
                </w:p>
              </w:tc>
              <w:tc>
                <w:tcPr>
                  <w:tcW w:w="1125" w:type="dxa"/>
                  <w:shd w:val="clear" w:color="auto" w:fill="auto"/>
                  <w:vAlign w:val="center"/>
                </w:tcPr>
                <w:p>
                  <w:pPr>
                    <w:shd w:val="clear" w:color="auto" w:fill="EBF1DE" w:themeFill="accent3" w:themeFillTint="32"/>
                    <w:rPr>
                      <w:rFonts w:ascii="宋体" w:hAnsi="宋体"/>
                    </w:rPr>
                  </w:pPr>
                </w:p>
              </w:tc>
              <w:tc>
                <w:tcPr>
                  <w:tcW w:w="156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7" w:type="dxa"/>
                  <w:shd w:val="clear" w:color="auto" w:fill="auto"/>
                </w:tcPr>
                <w:p>
                  <w:pPr>
                    <w:shd w:val="clear" w:color="auto" w:fill="EBF1DE" w:themeFill="accent3" w:themeFillTint="32"/>
                  </w:pPr>
                </w:p>
              </w:tc>
              <w:tc>
                <w:tcPr>
                  <w:tcW w:w="2415" w:type="dxa"/>
                  <w:shd w:val="clear" w:color="auto" w:fill="auto"/>
                  <w:vAlign w:val="center"/>
                </w:tcPr>
                <w:p>
                  <w:pPr>
                    <w:shd w:val="clear" w:color="auto" w:fill="EBF1DE" w:themeFill="accent3" w:themeFillTint="32"/>
                    <w:rPr>
                      <w:rFonts w:ascii="宋体" w:hAnsi="宋体"/>
                    </w:rPr>
                  </w:pPr>
                </w:p>
              </w:tc>
              <w:tc>
                <w:tcPr>
                  <w:tcW w:w="1125" w:type="dxa"/>
                  <w:shd w:val="clear" w:color="auto" w:fill="auto"/>
                  <w:vAlign w:val="center"/>
                </w:tcPr>
                <w:p>
                  <w:pPr>
                    <w:shd w:val="clear" w:color="auto" w:fill="EBF1DE" w:themeFill="accent3" w:themeFillTint="32"/>
                    <w:rPr>
                      <w:rFonts w:ascii="宋体" w:hAnsi="宋体"/>
                    </w:rPr>
                  </w:pPr>
                </w:p>
              </w:tc>
              <w:tc>
                <w:tcPr>
                  <w:tcW w:w="156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eastAsia="宋体"/>
                <w:highlight w:val="none"/>
                <w:lang w:eastAsia="zh-CN"/>
              </w:rPr>
            </w:pPr>
            <w:r>
              <w:rPr>
                <w:rFonts w:hint="eastAsia"/>
                <w:highlight w:val="none"/>
                <w:lang w:eastAsia="zh-CN"/>
              </w:rPr>
              <w:t>建筑面积6500平方米；生产车间1个；库房1个；实验室0个；</w:t>
            </w:r>
          </w:p>
          <w:p>
            <w:pPr>
              <w:shd w:val="clear" w:color="auto" w:fill="EBF1DE" w:themeFill="accent3" w:themeFillTint="32"/>
              <w:rPr>
                <w:highlight w:val="none"/>
                <w:u w:val="single"/>
              </w:rPr>
            </w:pPr>
            <w:r>
              <w:rPr>
                <w:rFonts w:hint="eastAsia"/>
                <w:highlight w:val="none"/>
              </w:rPr>
              <w:t>主要生产设备有：</w:t>
            </w:r>
            <w:r>
              <w:rPr>
                <w:rFonts w:hint="eastAsia"/>
                <w:highlight w:val="none"/>
                <w:u w:val="single"/>
              </w:rPr>
              <w:t>（</w:t>
            </w:r>
            <w:r>
              <w:rPr>
                <w:rFonts w:hint="eastAsia"/>
                <w:highlight w:val="none"/>
                <w:u w:val="single"/>
                <w:lang w:eastAsia="zh-CN"/>
              </w:rPr>
              <w:t>电脑及办公设备、装配线、折弯机、切割机、焊机、焊接工装、举升机、充电机、润滑油清洗机、扒胎机、千斤顶等</w:t>
            </w:r>
            <w:r>
              <w:rPr>
                <w:rFonts w:hint="eastAsia"/>
                <w:highlight w:val="none"/>
                <w:u w:val="single"/>
              </w:rPr>
              <w:t>）</w:t>
            </w:r>
          </w:p>
          <w:p>
            <w:pPr>
              <w:shd w:val="clear" w:color="auto" w:fill="EBF1DE" w:themeFill="accent3" w:themeFillTint="32"/>
              <w:rPr>
                <w:highlight w:val="none"/>
                <w:u w:val="single"/>
              </w:rPr>
            </w:pPr>
            <w:r>
              <w:rPr>
                <w:rFonts w:hint="eastAsia"/>
                <w:highlight w:val="none"/>
              </w:rPr>
              <w:t>主要环保设备有：</w:t>
            </w:r>
            <w:r>
              <w:rPr>
                <w:rFonts w:hint="eastAsia"/>
                <w:highlight w:val="none"/>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组织建立、实施和保持了适当的设计和开发过程，以确保后续的产品和服务的提供中满足环境相关的法律法规。（适用时）</w:t>
            </w:r>
          </w:p>
          <w:p>
            <w:pPr>
              <w:shd w:val="clear" w:color="auto" w:fill="EBF1DE" w:themeFill="accent3" w:themeFillTint="32"/>
              <w:rPr>
                <w:highlight w:val="none"/>
              </w:rPr>
            </w:pPr>
            <w:r>
              <w:rPr>
                <w:rFonts w:hint="eastAsia"/>
                <w:highlight w:val="none"/>
              </w:rPr>
              <w:t>审核期间内，设计和开发新产品/项目名称：</w:t>
            </w:r>
            <w:r>
              <w:rPr>
                <w:rFonts w:hint="eastAsia"/>
                <w:highlight w:val="none"/>
                <w:u w:val="single"/>
              </w:rPr>
              <w:t>（DDGD-Panda14人蓄电池观光车</w:t>
            </w:r>
            <w:r>
              <w:rPr>
                <w:rFonts w:hint="eastAsia"/>
                <w:highlight w:val="none"/>
              </w:rPr>
              <w:t>）</w:t>
            </w:r>
          </w:p>
          <w:p>
            <w:pPr>
              <w:shd w:val="clear" w:color="auto" w:fill="EBF1DE" w:themeFill="accent3" w:themeFillTint="32"/>
              <w:rPr>
                <w:highlight w:val="none"/>
              </w:rPr>
            </w:pPr>
            <w:r>
              <w:rPr>
                <w:rFonts w:hint="eastAsia"/>
                <w:highlight w:val="none"/>
              </w:rPr>
              <w:t>对该设计和开发的项目对环境因素进行了识别和评价，并制订了控制措施。</w:t>
            </w:r>
          </w:p>
          <w:p>
            <w:pPr>
              <w:shd w:val="clear" w:color="auto" w:fill="EBF1DE" w:themeFill="accent3" w:themeFillTint="32"/>
              <w:rPr>
                <w:highlight w:val="none"/>
              </w:rPr>
            </w:pPr>
            <w:r>
              <w:rPr>
                <w:rFonts w:hint="eastAsia"/>
                <w:highlight w:val="none"/>
              </w:rPr>
              <w:t>设计和开发的环境因素控制：</w:t>
            </w:r>
          </w:p>
          <w:p>
            <w:pPr>
              <w:shd w:val="clear" w:color="auto" w:fill="EBF1DE" w:themeFill="accent3" w:themeFillTint="32"/>
            </w:pP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522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5220" w:type="dxa"/>
                </w:tcPr>
                <w:p>
                  <w:pPr>
                    <w:shd w:val="clear" w:color="auto" w:fill="EBF1DE" w:themeFill="accent3" w:themeFillTint="32"/>
                    <w:jc w:val="left"/>
                  </w:pPr>
                  <w:r>
                    <w:rPr>
                      <w:rFonts w:hint="eastAsia"/>
                    </w:rPr>
                    <w:t>控制措施</w:t>
                  </w:r>
                </w:p>
              </w:tc>
              <w:tc>
                <w:tcPr>
                  <w:tcW w:w="1710"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能源消耗</w:t>
                  </w:r>
                </w:p>
              </w:tc>
              <w:tc>
                <w:tcPr>
                  <w:tcW w:w="5220" w:type="dxa"/>
                </w:tcPr>
                <w:p>
                  <w:pPr>
                    <w:shd w:val="clear" w:color="auto" w:fill="EBF1DE" w:themeFill="accent3" w:themeFillTint="32"/>
                    <w:jc w:val="left"/>
                  </w:pPr>
                </w:p>
              </w:tc>
              <w:tc>
                <w:tcPr>
                  <w:tcW w:w="1710"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资源消耗</w:t>
                  </w:r>
                </w:p>
              </w:tc>
              <w:tc>
                <w:tcPr>
                  <w:tcW w:w="5220" w:type="dxa"/>
                </w:tcPr>
                <w:p>
                  <w:pPr>
                    <w:shd w:val="clear" w:color="auto" w:fill="EBF1DE" w:themeFill="accent3" w:themeFillTint="32"/>
                    <w:jc w:val="left"/>
                  </w:pPr>
                </w:p>
              </w:tc>
              <w:tc>
                <w:tcPr>
                  <w:tcW w:w="1710"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废水排放</w:t>
                  </w:r>
                </w:p>
              </w:tc>
              <w:tc>
                <w:tcPr>
                  <w:tcW w:w="5220"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1710"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5220" w:type="dxa"/>
                </w:tcPr>
                <w:p>
                  <w:pPr>
                    <w:shd w:val="clear" w:color="auto" w:fill="EBF1DE" w:themeFill="accent3" w:themeFillTint="32"/>
                    <w:jc w:val="left"/>
                  </w:pPr>
                </w:p>
              </w:tc>
              <w:tc>
                <w:tcPr>
                  <w:tcW w:w="1710"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噪声排放</w:t>
                  </w:r>
                </w:p>
              </w:tc>
              <w:tc>
                <w:tcPr>
                  <w:tcW w:w="5220" w:type="dxa"/>
                  <w:vAlign w:val="top"/>
                </w:tcPr>
                <w:p>
                  <w:pPr>
                    <w:shd w:val="clear" w:color="auto" w:fill="EBF1DE" w:themeFill="accent3" w:themeFillTint="32"/>
                    <w:jc w:val="left"/>
                  </w:pPr>
                  <w:r>
                    <w:rPr>
                      <w:rFonts w:hint="eastAsia" w:ascii="宋体" w:hAnsi="宋体"/>
                      <w:szCs w:val="21"/>
                    </w:rPr>
                    <w:t>环境管理方案、运行控制程序</w:t>
                  </w:r>
                </w:p>
              </w:tc>
              <w:tc>
                <w:tcPr>
                  <w:tcW w:w="1710"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5220" w:type="dxa"/>
                  <w:vAlign w:val="top"/>
                </w:tcPr>
                <w:p>
                  <w:pPr>
                    <w:shd w:val="clear" w:color="auto" w:fill="EBF1DE" w:themeFill="accent3" w:themeFillTint="32"/>
                    <w:jc w:val="left"/>
                  </w:pPr>
                  <w:r>
                    <w:rPr>
                      <w:rFonts w:hint="eastAsia" w:ascii="宋体" w:hAnsi="宋体"/>
                      <w:szCs w:val="21"/>
                    </w:rPr>
                    <w:t>环境管理方案、运行控制程序</w:t>
                  </w:r>
                </w:p>
              </w:tc>
              <w:tc>
                <w:tcPr>
                  <w:tcW w:w="1710"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粉尘排放</w:t>
                  </w:r>
                </w:p>
              </w:tc>
              <w:tc>
                <w:tcPr>
                  <w:tcW w:w="5220" w:type="dxa"/>
                  <w:vAlign w:val="top"/>
                </w:tcPr>
                <w:p>
                  <w:pPr>
                    <w:shd w:val="clear" w:color="auto" w:fill="EBF1DE" w:themeFill="accent3" w:themeFillTint="32"/>
                    <w:jc w:val="left"/>
                  </w:pPr>
                </w:p>
              </w:tc>
              <w:tc>
                <w:tcPr>
                  <w:tcW w:w="1710"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5220" w:type="dxa"/>
                  <w:vAlign w:val="top"/>
                </w:tcPr>
                <w:p>
                  <w:pPr>
                    <w:spacing w:line="360" w:lineRule="exact"/>
                  </w:pPr>
                  <w:r>
                    <w:rPr>
                      <w:rFonts w:hint="eastAsia" w:ascii="宋体" w:hAnsi="宋体"/>
                      <w:szCs w:val="21"/>
                    </w:rPr>
                    <w:t>环境管理方案、运行控制程序</w:t>
                  </w:r>
                  <w:r>
                    <w:rPr>
                      <w:rFonts w:hint="eastAsia" w:ascii="宋体" w:hAnsi="宋体"/>
                      <w:szCs w:val="21"/>
                      <w:lang w:eastAsia="zh-CN"/>
                    </w:rPr>
                    <w:t>；</w:t>
                  </w:r>
                  <w:r>
                    <w:rPr>
                      <w:rFonts w:hint="eastAsia" w:ascii="宋体" w:hAnsi="宋体"/>
                      <w:szCs w:val="21"/>
                    </w:rPr>
                    <w:t>应急预案及应急演练</w:t>
                  </w:r>
                </w:p>
              </w:tc>
              <w:tc>
                <w:tcPr>
                  <w:tcW w:w="1710" w:type="dxa"/>
                  <w:vAlign w:val="center"/>
                </w:tcPr>
                <w:p>
                  <w:pPr>
                    <w:spacing w:line="360" w:lineRule="exact"/>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其他</w:t>
                  </w:r>
                </w:p>
              </w:tc>
              <w:tc>
                <w:tcPr>
                  <w:tcW w:w="5220" w:type="dxa"/>
                </w:tcPr>
                <w:p>
                  <w:pPr>
                    <w:shd w:val="clear" w:color="auto" w:fill="EBF1DE" w:themeFill="accent3" w:themeFillTint="32"/>
                    <w:jc w:val="left"/>
                  </w:pPr>
                </w:p>
              </w:tc>
              <w:tc>
                <w:tcPr>
                  <w:tcW w:w="1710"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highlight w:val="none"/>
              </w:rPr>
              <w:t>特种设备检测报告，如：</w:t>
            </w:r>
            <w:r>
              <w:rPr>
                <w:rFonts w:hint="eastAsia"/>
                <w:highlight w:val="none"/>
                <w:u w:val="single"/>
              </w:rPr>
              <w:t>（</w:t>
            </w:r>
            <w:r>
              <w:rPr>
                <w:rFonts w:hint="eastAsia"/>
                <w:highlight w:val="none"/>
                <w:u w:val="single"/>
                <w:lang w:eastAsia="zh-CN"/>
              </w:rPr>
              <w:t>编号</w:t>
            </w:r>
            <w:r>
              <w:rPr>
                <w:rFonts w:hint="eastAsia"/>
                <w:highlight w:val="none"/>
                <w:lang w:val="en-US" w:eastAsia="zh-CN"/>
              </w:rPr>
              <w:t>QZDJ202104791,5吨行车报告</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lang w:eastAsia="zh-CN"/>
              </w:rPr>
              <w:t>于</w:t>
            </w:r>
            <w:r>
              <w:rPr>
                <w:rFonts w:hint="eastAsia"/>
                <w:highlight w:val="none"/>
                <w:lang w:eastAsia="zh-CN"/>
              </w:rPr>
              <w:t>2022年3月9日</w:t>
            </w:r>
            <w:r>
              <w:rPr>
                <w:rFonts w:hint="eastAsia"/>
                <w:lang w:eastAsia="zh-CN"/>
              </w:rPr>
              <w:t>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t>☑</w:t>
            </w:r>
            <w:r>
              <w:rPr>
                <w:rFonts w:hint="eastAsia"/>
                <w:lang w:eastAsia="zh-CN"/>
              </w:rPr>
              <w:t>定期（每年）：</w:t>
            </w:r>
            <w:r>
              <w:rPr>
                <w:rFonts w:hint="eastAsia"/>
                <w:highlight w:val="none"/>
                <w:lang w:eastAsia="zh-CN"/>
              </w:rPr>
              <w:t>2022年3月15日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组织在适当阶段实施策划的安排，以验证环境法律法规的要求已得到满足。</w:t>
            </w:r>
          </w:p>
          <w:p>
            <w:pPr>
              <w:shd w:val="clear" w:color="auto" w:fill="EBF1DE" w:themeFill="accent3" w:themeFillTint="32"/>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企业自检</w:t>
            </w:r>
            <w:r>
              <w:rPr>
                <w:rFonts w:hint="eastAsia" w:ascii="Wingdings" w:hAnsi="Wingdings"/>
                <w:highlight w:val="none"/>
                <w:lang w:eastAsia="zh-CN"/>
              </w:rPr>
              <w:t>☑</w:t>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《环境监测报告》编号：</w:t>
            </w:r>
            <w:r>
              <w:rPr>
                <w:rFonts w:hint="eastAsia"/>
                <w:highlight w:val="none"/>
                <w:lang w:val="en-US" w:eastAsia="zh-CN"/>
              </w:rPr>
              <w:t>XPKJ-HJJC-20220285</w:t>
            </w:r>
            <w:r>
              <w:rPr>
                <w:rFonts w:hint="eastAsia"/>
                <w:highlight w:val="none"/>
              </w:rPr>
              <w:t>。</w:t>
            </w:r>
          </w:p>
          <w:p>
            <w:pPr>
              <w:shd w:val="clear" w:color="auto" w:fill="EBF1DE" w:themeFill="accent3" w:themeFillTint="32"/>
              <w:rPr>
                <w:highlight w:val="none"/>
              </w:rPr>
            </w:pPr>
            <w:r>
              <w:rPr>
                <w:rFonts w:hint="eastAsia"/>
                <w:highlight w:val="none"/>
              </w:rPr>
              <w:t>《建筑消防检测报告》编号：。</w:t>
            </w:r>
          </w:p>
          <w:p>
            <w:pPr>
              <w:shd w:val="clear" w:color="auto" w:fill="EBF1DE" w:themeFill="accent3" w:themeFillTint="32"/>
            </w:pPr>
            <w:r>
              <w:rPr>
                <w:rFonts w:hint="eastAsia"/>
                <w:highlight w:val="none"/>
              </w:rPr>
              <w:t>达标评价：</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highlight w:val="none"/>
                <w:lang w:val="en-US" w:eastAsia="zh-CN"/>
              </w:rPr>
              <w:t>2022年3月17日至3月18日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highlight w:val="none"/>
                <w:lang w:val="en-US" w:eastAsia="zh-CN"/>
              </w:rPr>
              <w:t>2022年4月9日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OHSMS</w:t>
            </w:r>
            <w:r>
              <w:rPr>
                <w:rFonts w:hint="eastAsia"/>
              </w:rPr>
              <w:t>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w:t>
                  </w:r>
                  <w:r>
                    <w:rPr>
                      <w:rFonts w:hint="eastAsia"/>
                      <w:lang w:eastAsia="zh-CN"/>
                    </w:rPr>
                    <w:t>☑</w:t>
                  </w:r>
                  <w:r>
                    <w:rPr>
                      <w:rFonts w:hint="eastAsia"/>
                    </w:rPr>
                    <w:t>文化</w:t>
                  </w:r>
                  <w:r>
                    <w:rPr>
                      <w:rFonts w:hint="eastAsia"/>
                      <w:lang w:eastAsia="zh-CN"/>
                    </w:rPr>
                    <w:t>☑</w:t>
                  </w:r>
                  <w:r>
                    <w:rPr>
                      <w:rFonts w:hint="eastAsia"/>
                    </w:rPr>
                    <w:t>知识□绩效□工艺□设备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w:t>
            </w:r>
            <w:r>
              <w:rPr>
                <w:rFonts w:hint="eastAsia"/>
                <w:lang w:eastAsia="zh-CN"/>
              </w:rPr>
              <w:t>☑</w:t>
            </w:r>
            <w:r>
              <w:rPr>
                <w:rFonts w:hint="eastAsia"/>
              </w:rPr>
              <w:t>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最高管理者制定了文件化的职业健康安全管理体系方针：保障健康、安全服务、以人为本、永续发展、遵守法规、持续改进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生产技术部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highlight w:val="none"/>
                <w:lang w:val="en-US" w:eastAsia="zh-CN"/>
              </w:rPr>
              <w:t>张捍卫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2"/>
              <w:gridCol w:w="440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2" w:type="dxa"/>
                </w:tcPr>
                <w:p>
                  <w:pPr>
                    <w:rPr>
                      <w:highlight w:val="none"/>
                    </w:rPr>
                  </w:pPr>
                  <w:r>
                    <w:rPr>
                      <w:rFonts w:hint="eastAsia"/>
                      <w:highlight w:val="none"/>
                    </w:rPr>
                    <w:t>主要的风险或机遇描述</w:t>
                  </w:r>
                </w:p>
              </w:tc>
              <w:tc>
                <w:tcPr>
                  <w:tcW w:w="4403"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2"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highlight w:val="none"/>
                    </w:rPr>
                    <w:t>火灾</w:t>
                  </w:r>
                </w:p>
              </w:tc>
              <w:tc>
                <w:tcPr>
                  <w:tcW w:w="4403"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2"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highlight w:val="none"/>
                    </w:rPr>
                    <w:t>触电</w:t>
                  </w:r>
                </w:p>
              </w:tc>
              <w:tc>
                <w:tcPr>
                  <w:tcW w:w="4403"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2"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highlight w:val="none"/>
                      <w:lang w:eastAsia="zh-CN"/>
                    </w:rPr>
                    <w:t>机械伤害</w:t>
                  </w:r>
                </w:p>
              </w:tc>
              <w:tc>
                <w:tcPr>
                  <w:tcW w:w="4403"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2" w:type="dxa"/>
                </w:tcPr>
                <w:p>
                  <w:pPr>
                    <w:rPr>
                      <w:highlight w:val="yellow"/>
                    </w:rPr>
                  </w:pPr>
                </w:p>
              </w:tc>
              <w:tc>
                <w:tcPr>
                  <w:tcW w:w="4403" w:type="dxa"/>
                </w:tcPr>
                <w:p>
                  <w:pPr>
                    <w:rPr>
                      <w:highlight w:val="yellow"/>
                    </w:rPr>
                  </w:pPr>
                </w:p>
              </w:tc>
              <w:tc>
                <w:tcPr>
                  <w:tcW w:w="1717" w:type="dxa"/>
                </w:tcPr>
                <w:p>
                  <w:pPr>
                    <w:rPr>
                      <w:highlight w:val="yellow"/>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触电□化学伤害□噪声□粉尘</w:t>
            </w:r>
            <w:r>
              <w:rPr>
                <w:rFonts w:hint="eastAsia"/>
                <w:lang w:eastAsia="zh-CN"/>
              </w:rPr>
              <w:t>□</w:t>
            </w:r>
            <w:r>
              <w:rPr>
                <w:rFonts w:hint="eastAsia"/>
              </w:rPr>
              <w:t>危险作业</w:t>
            </w:r>
            <w:r>
              <w:rPr>
                <w:rFonts w:hint="eastAsia"/>
                <w:lang w:eastAsia="zh-CN"/>
              </w:rPr>
              <w:t>□</w:t>
            </w:r>
            <w:r>
              <w:rPr>
                <w:rFonts w:hint="eastAsia"/>
              </w:rPr>
              <w:t>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w:t>
            </w:r>
            <w:r>
              <w:rPr>
                <w:rFonts w:hint="eastAsia"/>
                <w:highlight w:val="none"/>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7"/>
              <w:gridCol w:w="2760"/>
              <w:gridCol w:w="1065"/>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7" w:type="dxa"/>
                  <w:shd w:val="clear" w:color="auto" w:fill="auto"/>
                </w:tcPr>
                <w:p>
                  <w:pPr>
                    <w:rPr>
                      <w:rFonts w:ascii="宋体" w:hAnsi="宋体"/>
                    </w:rPr>
                  </w:pPr>
                  <w:r>
                    <w:rPr>
                      <w:rFonts w:hint="eastAsia"/>
                    </w:rPr>
                    <w:t>职业健康安全</w:t>
                  </w:r>
                  <w:r>
                    <w:rPr>
                      <w:rFonts w:hint="eastAsia" w:ascii="宋体" w:hAnsi="宋体"/>
                    </w:rPr>
                    <w:t>目标</w:t>
                  </w:r>
                </w:p>
              </w:tc>
              <w:tc>
                <w:tcPr>
                  <w:tcW w:w="2760" w:type="dxa"/>
                  <w:shd w:val="clear" w:color="auto" w:fill="auto"/>
                </w:tcPr>
                <w:p>
                  <w:pPr>
                    <w:rPr>
                      <w:rFonts w:ascii="宋体" w:hAnsi="宋体"/>
                    </w:rPr>
                  </w:pPr>
                  <w:r>
                    <w:rPr>
                      <w:rFonts w:hint="eastAsia" w:ascii="宋体" w:hAnsi="宋体"/>
                    </w:rPr>
                    <w:t>控制措施</w:t>
                  </w:r>
                </w:p>
              </w:tc>
              <w:tc>
                <w:tcPr>
                  <w:tcW w:w="1065" w:type="dxa"/>
                  <w:shd w:val="clear" w:color="auto" w:fill="auto"/>
                </w:tcPr>
                <w:p>
                  <w:pPr>
                    <w:rPr>
                      <w:rFonts w:ascii="宋体" w:hAnsi="宋体"/>
                    </w:rPr>
                  </w:pPr>
                  <w:r>
                    <w:rPr>
                      <w:rFonts w:hint="eastAsia" w:ascii="宋体" w:hAnsi="宋体"/>
                    </w:rPr>
                    <w:t>责任部门</w:t>
                  </w:r>
                </w:p>
              </w:tc>
              <w:tc>
                <w:tcPr>
                  <w:tcW w:w="1549"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7"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GB" w:eastAsia="zh-CN" w:bidi="ar-SA"/>
                    </w:rPr>
                  </w:pPr>
                  <w:r>
                    <w:rPr>
                      <w:rFonts w:hint="eastAsia" w:ascii="Times New Roman" w:hAnsi="Times New Roman" w:eastAsia="宋体" w:cs="Times New Roman"/>
                      <w:color w:val="000000"/>
                      <w:kern w:val="2"/>
                      <w:sz w:val="21"/>
                      <w:szCs w:val="18"/>
                      <w:lang w:val="en-US" w:eastAsia="zh-CN" w:bidi="ar-SA"/>
                    </w:rPr>
                    <w:t>重大安全事故和伤亡事故为0</w:t>
                  </w:r>
                </w:p>
              </w:tc>
              <w:tc>
                <w:tcPr>
                  <w:tcW w:w="276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GB" w:eastAsia="zh-CN" w:bidi="ar-SA"/>
                    </w:rPr>
                  </w:pPr>
                  <w:r>
                    <w:rPr>
                      <w:rFonts w:hint="eastAsia" w:ascii="Times New Roman" w:hAnsi="Times New Roman" w:eastAsia="宋体" w:cs="Times New Roman"/>
                      <w:color w:val="000000"/>
                      <w:kern w:val="2"/>
                      <w:sz w:val="21"/>
                      <w:szCs w:val="18"/>
                      <w:lang w:val="en-US" w:eastAsia="zh-CN" w:bidi="ar-SA"/>
                    </w:rPr>
                    <w:t>安全管理方案</w:t>
                  </w:r>
                </w:p>
              </w:tc>
              <w:tc>
                <w:tcPr>
                  <w:tcW w:w="106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GB" w:eastAsia="zh-CN" w:bidi="ar-SA"/>
                    </w:rPr>
                  </w:pPr>
                  <w:r>
                    <w:rPr>
                      <w:rFonts w:hint="eastAsia" w:ascii="Times New Roman" w:hAnsi="Times New Roman" w:eastAsia="宋体" w:cs="Times New Roman"/>
                      <w:color w:val="000000"/>
                      <w:kern w:val="2"/>
                      <w:sz w:val="21"/>
                      <w:szCs w:val="18"/>
                      <w:lang w:val="en-US" w:eastAsia="zh-CN" w:bidi="ar-SA"/>
                    </w:rPr>
                    <w:t>行政部</w:t>
                  </w:r>
                </w:p>
              </w:tc>
              <w:tc>
                <w:tcPr>
                  <w:tcW w:w="1549"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GB" w:eastAsia="zh-CN" w:bidi="ar-SA"/>
                    </w:rPr>
                  </w:pPr>
                  <w:r>
                    <w:rPr>
                      <w:rFonts w:hint="eastAsia" w:ascii="Times New Roman" w:hAnsi="Times New Roman" w:eastAsia="宋体" w:cs="Times New Roman"/>
                      <w:color w:val="000000"/>
                      <w:kern w:val="2"/>
                      <w:sz w:val="21"/>
                      <w:szCs w:val="1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7"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GB" w:eastAsia="zh-CN" w:bidi="ar-SA"/>
                    </w:rPr>
                  </w:pPr>
                  <w:r>
                    <w:rPr>
                      <w:rFonts w:hint="eastAsia" w:ascii="Times New Roman" w:hAnsi="Times New Roman" w:eastAsia="宋体" w:cs="Times New Roman"/>
                      <w:color w:val="000000"/>
                      <w:kern w:val="2"/>
                      <w:sz w:val="21"/>
                      <w:szCs w:val="18"/>
                      <w:lang w:val="en-US" w:eastAsia="zh-CN" w:bidi="ar-SA"/>
                    </w:rPr>
                    <w:t>火灾事故为0</w:t>
                  </w:r>
                </w:p>
              </w:tc>
              <w:tc>
                <w:tcPr>
                  <w:tcW w:w="276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GB" w:eastAsia="zh-CN" w:bidi="ar-SA"/>
                    </w:rPr>
                  </w:pPr>
                  <w:r>
                    <w:rPr>
                      <w:rFonts w:hint="eastAsia" w:ascii="Times New Roman" w:hAnsi="Times New Roman" w:eastAsia="宋体" w:cs="Times New Roman"/>
                      <w:color w:val="000000"/>
                      <w:kern w:val="2"/>
                      <w:sz w:val="21"/>
                      <w:szCs w:val="18"/>
                      <w:lang w:val="en-US" w:eastAsia="zh-CN" w:bidi="ar-SA"/>
                    </w:rPr>
                    <w:t>火灾预防、火灾应急预案</w:t>
                  </w:r>
                </w:p>
              </w:tc>
              <w:tc>
                <w:tcPr>
                  <w:tcW w:w="106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GB" w:eastAsia="zh-CN" w:bidi="ar-SA"/>
                    </w:rPr>
                  </w:pPr>
                  <w:r>
                    <w:rPr>
                      <w:rFonts w:hint="eastAsia" w:ascii="Times New Roman" w:hAnsi="Times New Roman" w:eastAsia="宋体" w:cs="Times New Roman"/>
                      <w:color w:val="000000"/>
                      <w:kern w:val="2"/>
                      <w:sz w:val="21"/>
                      <w:szCs w:val="18"/>
                      <w:lang w:val="en-US" w:eastAsia="zh-CN" w:bidi="ar-SA"/>
                    </w:rPr>
                    <w:t>行政部</w:t>
                  </w:r>
                </w:p>
              </w:tc>
              <w:tc>
                <w:tcPr>
                  <w:tcW w:w="1549"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GB" w:eastAsia="zh-CN" w:bidi="ar-SA"/>
                    </w:rPr>
                  </w:pPr>
                  <w:r>
                    <w:rPr>
                      <w:rFonts w:hint="eastAsia" w:ascii="Times New Roman" w:hAnsi="Times New Roman" w:eastAsia="宋体" w:cs="Times New Roman"/>
                      <w:color w:val="000000"/>
                      <w:kern w:val="2"/>
                      <w:sz w:val="21"/>
                      <w:szCs w:val="1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7"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职业病发生率为0</w:t>
                  </w:r>
                </w:p>
              </w:tc>
              <w:tc>
                <w:tcPr>
                  <w:tcW w:w="2760"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职业病预防方案</w:t>
                  </w:r>
                </w:p>
              </w:tc>
              <w:tc>
                <w:tcPr>
                  <w:tcW w:w="1065"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行政部</w:t>
                  </w:r>
                </w:p>
              </w:tc>
              <w:tc>
                <w:tcPr>
                  <w:tcW w:w="1549"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7" w:type="dxa"/>
                  <w:shd w:val="clear" w:color="auto" w:fill="auto"/>
                </w:tcPr>
                <w:p/>
              </w:tc>
              <w:tc>
                <w:tcPr>
                  <w:tcW w:w="2760" w:type="dxa"/>
                  <w:shd w:val="clear" w:color="auto" w:fill="auto"/>
                  <w:vAlign w:val="center"/>
                </w:tcPr>
                <w:p>
                  <w:pPr>
                    <w:rPr>
                      <w:rFonts w:ascii="宋体" w:hAnsi="宋体"/>
                    </w:rPr>
                  </w:pPr>
                </w:p>
              </w:tc>
              <w:tc>
                <w:tcPr>
                  <w:tcW w:w="1065" w:type="dxa"/>
                  <w:shd w:val="clear" w:color="auto" w:fill="auto"/>
                  <w:vAlign w:val="center"/>
                </w:tcPr>
                <w:p>
                  <w:pPr>
                    <w:rPr>
                      <w:rFonts w:ascii="宋体" w:hAnsi="宋体"/>
                    </w:rPr>
                  </w:pPr>
                </w:p>
              </w:tc>
              <w:tc>
                <w:tcPr>
                  <w:tcW w:w="1549"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7" w:type="dxa"/>
                  <w:shd w:val="clear" w:color="auto" w:fill="auto"/>
                </w:tcPr>
                <w:p/>
              </w:tc>
              <w:tc>
                <w:tcPr>
                  <w:tcW w:w="2760" w:type="dxa"/>
                  <w:shd w:val="clear" w:color="auto" w:fill="auto"/>
                  <w:vAlign w:val="center"/>
                </w:tcPr>
                <w:p>
                  <w:pPr>
                    <w:rPr>
                      <w:rFonts w:ascii="宋体" w:hAnsi="宋体"/>
                    </w:rPr>
                  </w:pPr>
                </w:p>
              </w:tc>
              <w:tc>
                <w:tcPr>
                  <w:tcW w:w="1065" w:type="dxa"/>
                  <w:shd w:val="clear" w:color="auto" w:fill="auto"/>
                  <w:vAlign w:val="center"/>
                </w:tcPr>
                <w:p>
                  <w:pPr>
                    <w:rPr>
                      <w:rFonts w:ascii="宋体" w:hAnsi="宋体"/>
                    </w:rPr>
                  </w:pPr>
                </w:p>
              </w:tc>
              <w:tc>
                <w:tcPr>
                  <w:tcW w:w="1549"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组织应确定、提供并维护所需的基础设施情况：</w:t>
            </w:r>
          </w:p>
          <w:p>
            <w:pPr>
              <w:rPr>
                <w:rFonts w:hint="eastAsia" w:eastAsia="宋体"/>
                <w:highlight w:val="none"/>
                <w:lang w:eastAsia="zh-CN"/>
              </w:rPr>
            </w:pPr>
            <w:r>
              <w:rPr>
                <w:rFonts w:hint="eastAsia"/>
                <w:highlight w:val="none"/>
                <w:lang w:eastAsia="zh-CN"/>
              </w:rPr>
              <w:t>建筑面积6500平方米；生产车间1个；库房1个；实验室0个；</w:t>
            </w:r>
          </w:p>
          <w:p>
            <w:pPr>
              <w:rPr>
                <w:highlight w:val="none"/>
                <w:u w:val="single"/>
              </w:rPr>
            </w:pPr>
            <w:r>
              <w:rPr>
                <w:rFonts w:hint="eastAsia"/>
                <w:highlight w:val="none"/>
              </w:rPr>
              <w:t>主要生产设备有：</w:t>
            </w:r>
            <w:r>
              <w:rPr>
                <w:rFonts w:hint="eastAsia"/>
                <w:highlight w:val="none"/>
                <w:u w:val="single"/>
              </w:rPr>
              <w:t>（</w:t>
            </w:r>
            <w:r>
              <w:rPr>
                <w:rFonts w:hint="eastAsia"/>
                <w:highlight w:val="none"/>
                <w:u w:val="single"/>
                <w:lang w:eastAsia="zh-CN"/>
              </w:rPr>
              <w:t>电脑及办公设备、装配线、折弯机、切割机、焊机、焊接工装、举升机、充电机、润滑油清洗机、扒胎机、千斤顶等</w:t>
            </w:r>
            <w:r>
              <w:rPr>
                <w:rFonts w:hint="eastAsia"/>
                <w:highlight w:val="none"/>
                <w:u w:val="single"/>
              </w:rPr>
              <w:t>）</w:t>
            </w:r>
          </w:p>
          <w:p>
            <w:pPr>
              <w:rPr>
                <w:highlight w:val="none"/>
              </w:rPr>
            </w:pPr>
            <w:r>
              <w:rPr>
                <w:rFonts w:hint="eastAsia"/>
                <w:highlight w:val="none"/>
              </w:rPr>
              <w:t>主要安全装置有：</w:t>
            </w:r>
          </w:p>
          <w:p>
            <w:pPr>
              <w:rPr>
                <w:highlight w:val="none"/>
              </w:rPr>
            </w:pPr>
            <w:r>
              <w:rPr>
                <w:rFonts w:hint="eastAsia" w:ascii="Wingdings" w:hAnsi="Wingdings"/>
                <w:highlight w:val="none"/>
                <w:lang w:eastAsia="zh-CN"/>
              </w:rPr>
              <w:t>☑</w:t>
            </w:r>
            <w:r>
              <w:rPr>
                <w:rFonts w:hint="eastAsia"/>
                <w:highlight w:val="none"/>
              </w:rPr>
              <w:t>急停按钮</w:t>
            </w:r>
            <w:r>
              <w:rPr>
                <w:rFonts w:hint="eastAsia" w:ascii="Wingdings" w:hAnsi="Wingdings"/>
                <w:highlight w:val="none"/>
                <w:lang w:eastAsia="zh-CN"/>
              </w:rPr>
              <w:t>□</w:t>
            </w:r>
            <w:r>
              <w:rPr>
                <w:rFonts w:hint="eastAsia"/>
                <w:highlight w:val="none"/>
              </w:rPr>
              <w:t>光栅</w:t>
            </w:r>
            <w:r>
              <w:rPr>
                <w:rFonts w:hint="eastAsia" w:ascii="Wingdings" w:hAnsi="Wingdings"/>
                <w:highlight w:val="none"/>
                <w:lang w:eastAsia="zh-CN"/>
              </w:rPr>
              <w:t>□</w:t>
            </w:r>
            <w:r>
              <w:rPr>
                <w:rFonts w:hint="eastAsia"/>
                <w:highlight w:val="none"/>
              </w:rPr>
              <w:t>联锁装置</w:t>
            </w:r>
            <w:r>
              <w:rPr>
                <w:rFonts w:hint="eastAsia" w:ascii="Wingdings" w:hAnsi="Wingdings"/>
                <w:highlight w:val="none"/>
                <w:lang w:eastAsia="zh-CN"/>
              </w:rPr>
              <w:t>☑</w:t>
            </w:r>
            <w:r>
              <w:rPr>
                <w:rFonts w:hint="eastAsia"/>
                <w:highlight w:val="none"/>
              </w:rPr>
              <w:t>漏电开关</w:t>
            </w:r>
            <w:r>
              <w:rPr>
                <w:rFonts w:hint="eastAsia" w:ascii="Wingdings" w:hAnsi="Wingdings"/>
                <w:highlight w:val="none"/>
                <w:lang w:eastAsia="zh-CN"/>
              </w:rPr>
              <w:t>□</w:t>
            </w:r>
            <w:r>
              <w:rPr>
                <w:rFonts w:hint="eastAsia"/>
                <w:highlight w:val="none"/>
              </w:rPr>
              <w:t>报警系统</w:t>
            </w:r>
            <w:r>
              <w:rPr>
                <w:rFonts w:hint="eastAsia" w:ascii="Wingdings" w:hAnsi="Wingdings"/>
                <w:highlight w:val="none"/>
                <w:lang w:eastAsia="zh-CN"/>
              </w:rPr>
              <w:t>□</w:t>
            </w:r>
            <w:r>
              <w:rPr>
                <w:rFonts w:hint="eastAsia"/>
                <w:highlight w:val="none"/>
              </w:rPr>
              <w:t>消防系统</w:t>
            </w:r>
            <w:r>
              <w:rPr>
                <w:rFonts w:hint="eastAsia" w:ascii="Wingdings" w:hAnsi="Wingdings"/>
                <w:highlight w:val="none"/>
                <w:lang w:eastAsia="zh-CN"/>
              </w:rPr>
              <w:t>□</w:t>
            </w:r>
            <w:r>
              <w:rPr>
                <w:rFonts w:hint="eastAsia"/>
                <w:highlight w:val="none"/>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组织建立、实施和保持了适当的设计和开发过程，以确保后续的产品和服务的提供中满足职业健康安全相关的法律法规。（适用时）</w:t>
            </w:r>
          </w:p>
          <w:p>
            <w:pPr>
              <w:rPr>
                <w:highlight w:val="none"/>
              </w:rPr>
            </w:pPr>
            <w:r>
              <w:rPr>
                <w:rFonts w:hint="eastAsia"/>
                <w:highlight w:val="none"/>
              </w:rPr>
              <w:t>审核期间内，设计和开发新产品/项目名称：</w:t>
            </w:r>
            <w:r>
              <w:rPr>
                <w:rFonts w:hint="eastAsia"/>
                <w:highlight w:val="none"/>
                <w:u w:val="single"/>
              </w:rPr>
              <w:t>（DDGD-Panda14人蓄电池观光车</w:t>
            </w:r>
            <w:r>
              <w:rPr>
                <w:rFonts w:hint="eastAsia"/>
                <w:highlight w:val="none"/>
              </w:rPr>
              <w:t>）</w:t>
            </w:r>
          </w:p>
          <w:p>
            <w:pPr>
              <w:rPr>
                <w:highlight w:val="none"/>
              </w:rPr>
            </w:pPr>
            <w:r>
              <w:rPr>
                <w:rFonts w:hint="eastAsia"/>
                <w:highlight w:val="none"/>
              </w:rPr>
              <w:t>对该设计和开发的项目对职业健康安全风险进行了识别和评价，并制订了控制措施。</w:t>
            </w:r>
          </w:p>
          <w:p>
            <w:pPr>
              <w:rPr>
                <w:highlight w:val="none"/>
              </w:rPr>
            </w:pPr>
            <w:r>
              <w:rPr>
                <w:rFonts w:hint="eastAsia"/>
                <w:highlight w:val="none"/>
              </w:rPr>
              <w:t>设计和开发的环境因素控制：</w:t>
            </w:r>
          </w:p>
          <w:p>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vAlign w:val="top"/>
                </w:tcPr>
                <w:p>
                  <w:pPr>
                    <w:jc w:val="left"/>
                  </w:pPr>
                  <w:r>
                    <w:rPr>
                      <w:rFonts w:hint="eastAsia"/>
                    </w:rPr>
                    <w:t>制定管理方案，应急预案并演练</w:t>
                  </w:r>
                </w:p>
              </w:tc>
              <w:tc>
                <w:tcPr>
                  <w:tcW w:w="2205" w:type="dxa"/>
                  <w:vAlign w:val="top"/>
                </w:tcPr>
                <w:p>
                  <w:pPr>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highlight w:val="none"/>
              </w:rPr>
              <w:t>特种设备检测报告，如：</w:t>
            </w:r>
            <w:r>
              <w:rPr>
                <w:rFonts w:hint="eastAsia"/>
                <w:highlight w:val="none"/>
                <w:u w:val="single"/>
              </w:rPr>
              <w:t>（编号QZDJ202104791,5吨行车报告</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highlight w:val="none"/>
                <w:lang w:eastAsia="zh-CN"/>
              </w:rPr>
              <w:t>于2022年3月9日</w:t>
            </w:r>
            <w:r>
              <w:rPr>
                <w:rFonts w:hint="eastAsia"/>
                <w:lang w:eastAsia="zh-CN"/>
              </w:rPr>
              <w:t>进行了的演练</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lang w:eastAsia="zh-CN"/>
              </w:rPr>
              <w:t>☑</w:t>
            </w:r>
            <w:r>
              <w:rPr>
                <w:rFonts w:hint="eastAsia"/>
                <w:lang w:eastAsia="zh-CN"/>
              </w:rPr>
              <w:t>定期（每年）：</w:t>
            </w:r>
            <w:r>
              <w:rPr>
                <w:rFonts w:hint="eastAsia"/>
                <w:highlight w:val="none"/>
                <w:lang w:eastAsia="zh-CN"/>
              </w:rPr>
              <w:t>2022年3月15日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组织在适当阶段实施策划的安排，以验证环境法律法规的要求已得到满足。</w:t>
            </w:r>
          </w:p>
          <w:p>
            <w:pPr>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企业自检</w:t>
            </w:r>
            <w:r>
              <w:rPr>
                <w:rFonts w:hint="eastAsia" w:ascii="Wingdings" w:hAnsi="Wingdings"/>
                <w:highlight w:val="none"/>
                <w:lang w:eastAsia="zh-CN"/>
              </w:rPr>
              <w:t>□</w:t>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入职</w:t>
            </w:r>
            <w:r>
              <w:rPr>
                <w:rFonts w:hint="eastAsia" w:ascii="Wingdings" w:hAnsi="Wingdings"/>
                <w:highlight w:val="none"/>
                <w:lang w:eastAsia="zh-CN"/>
              </w:rPr>
              <w:t>□</w:t>
            </w:r>
            <w:r>
              <w:rPr>
                <w:rFonts w:hint="eastAsia"/>
                <w:highlight w:val="none"/>
              </w:rPr>
              <w:t>离职</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p>
          <w:p>
            <w:pPr>
              <w:rPr>
                <w:highlight w:val="none"/>
              </w:rPr>
            </w:pPr>
            <w:r>
              <w:rPr>
                <w:rFonts w:hint="eastAsia"/>
                <w:highlight w:val="none"/>
              </w:rPr>
              <w:t>《建筑消防检测报告》编号：。</w:t>
            </w:r>
          </w:p>
          <w:p>
            <w:pPr>
              <w:rPr>
                <w:highlight w:val="none"/>
              </w:rPr>
            </w:pPr>
            <w:r>
              <w:rPr>
                <w:rFonts w:hint="eastAsia"/>
                <w:highlight w:val="none"/>
              </w:rPr>
              <w:t>《防雷检测报告》编号：。</w:t>
            </w:r>
          </w:p>
          <w:p>
            <w:r>
              <w:rPr>
                <w:rFonts w:hint="eastAsia"/>
                <w:highlight w:val="none"/>
              </w:rPr>
              <w:t>达标评价：</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w:t>
            </w:r>
            <w:r>
              <w:rPr>
                <w:rFonts w:hint="eastAsia"/>
                <w:highlight w:val="none"/>
              </w:rPr>
              <w:t>于</w:t>
            </w:r>
            <w:r>
              <w:rPr>
                <w:rFonts w:hint="eastAsia"/>
                <w:highlight w:val="none"/>
                <w:lang w:eastAsia="zh-CN"/>
              </w:rPr>
              <w:t>2022年3月17日至3月18日</w:t>
            </w:r>
            <w:r>
              <w:rPr>
                <w:rFonts w:hint="eastAsia"/>
                <w:highlight w:val="none"/>
              </w:rPr>
              <w:t>实施了</w:t>
            </w:r>
            <w:r>
              <w:rPr>
                <w:rFonts w:hint="eastAsia"/>
              </w:rPr>
              <w:t>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highlight w:val="none"/>
                <w:lang w:val="en-US" w:eastAsia="zh-CN"/>
              </w:rPr>
              <w:t>2022年4月9日</w:t>
            </w:r>
            <w:r>
              <w:rPr>
                <w:rFonts w:hint="eastAsia"/>
                <w:highlight w:val="none"/>
              </w:rPr>
              <w:t>对</w:t>
            </w:r>
            <w:r>
              <w:rPr>
                <w:rFonts w:hint="eastAsia"/>
              </w:rPr>
              <w:t>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bookmarkStart w:id="34" w:name="_GoBack"/>
      <w:bookmarkEnd w:id="34"/>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FmNDE1OTA0NjMzMTc3MjRkMDFmMDVlMjFhNzg3YjQifQ=="/>
  </w:docVars>
  <w:rsids>
    <w:rsidRoot w:val="00000000"/>
    <w:rsid w:val="025A01FA"/>
    <w:rsid w:val="027435A8"/>
    <w:rsid w:val="02755FB4"/>
    <w:rsid w:val="028444ED"/>
    <w:rsid w:val="032064E7"/>
    <w:rsid w:val="048E3326"/>
    <w:rsid w:val="05011699"/>
    <w:rsid w:val="05025778"/>
    <w:rsid w:val="051756C8"/>
    <w:rsid w:val="054D0309"/>
    <w:rsid w:val="05880374"/>
    <w:rsid w:val="06641E8F"/>
    <w:rsid w:val="06767837"/>
    <w:rsid w:val="06E36073"/>
    <w:rsid w:val="091F7B45"/>
    <w:rsid w:val="095364C2"/>
    <w:rsid w:val="09B66248"/>
    <w:rsid w:val="0A643107"/>
    <w:rsid w:val="0A89037C"/>
    <w:rsid w:val="0AF52007"/>
    <w:rsid w:val="0BFA51DB"/>
    <w:rsid w:val="0CE02C42"/>
    <w:rsid w:val="0D6108F5"/>
    <w:rsid w:val="0D997BFC"/>
    <w:rsid w:val="0E0662D9"/>
    <w:rsid w:val="0F220047"/>
    <w:rsid w:val="1115769E"/>
    <w:rsid w:val="112371A2"/>
    <w:rsid w:val="11CB5870"/>
    <w:rsid w:val="123824B3"/>
    <w:rsid w:val="123B3DF1"/>
    <w:rsid w:val="12C64289"/>
    <w:rsid w:val="13113756"/>
    <w:rsid w:val="13452E04"/>
    <w:rsid w:val="13B15C09"/>
    <w:rsid w:val="13DA2891"/>
    <w:rsid w:val="154858E4"/>
    <w:rsid w:val="1550377E"/>
    <w:rsid w:val="15F95BC9"/>
    <w:rsid w:val="15FE270B"/>
    <w:rsid w:val="16131838"/>
    <w:rsid w:val="16A407CE"/>
    <w:rsid w:val="172163E8"/>
    <w:rsid w:val="17AC3367"/>
    <w:rsid w:val="17BB3400"/>
    <w:rsid w:val="17E520D8"/>
    <w:rsid w:val="1A1678A4"/>
    <w:rsid w:val="1A3541B5"/>
    <w:rsid w:val="1A8C0FE2"/>
    <w:rsid w:val="1B053FF2"/>
    <w:rsid w:val="1B361E84"/>
    <w:rsid w:val="1B3B1CB8"/>
    <w:rsid w:val="1D7E37D5"/>
    <w:rsid w:val="1D921938"/>
    <w:rsid w:val="1DBC0A46"/>
    <w:rsid w:val="1DC4640C"/>
    <w:rsid w:val="1E3E5BD7"/>
    <w:rsid w:val="1E6A4663"/>
    <w:rsid w:val="1FF66ECA"/>
    <w:rsid w:val="20017303"/>
    <w:rsid w:val="229C6865"/>
    <w:rsid w:val="22FE10D7"/>
    <w:rsid w:val="22FE4C9E"/>
    <w:rsid w:val="247955FF"/>
    <w:rsid w:val="252E64CA"/>
    <w:rsid w:val="25D655D1"/>
    <w:rsid w:val="25E241B3"/>
    <w:rsid w:val="26216A0F"/>
    <w:rsid w:val="267D21B2"/>
    <w:rsid w:val="297C259A"/>
    <w:rsid w:val="2A9F5694"/>
    <w:rsid w:val="2AD36C0F"/>
    <w:rsid w:val="2AE5579D"/>
    <w:rsid w:val="2AFB6091"/>
    <w:rsid w:val="2B235C71"/>
    <w:rsid w:val="2BE516A3"/>
    <w:rsid w:val="2D3E7B36"/>
    <w:rsid w:val="2D877654"/>
    <w:rsid w:val="2DDB6F09"/>
    <w:rsid w:val="2E1E1F8C"/>
    <w:rsid w:val="2E4F2177"/>
    <w:rsid w:val="2ECB2EFB"/>
    <w:rsid w:val="2F2919D0"/>
    <w:rsid w:val="3017452B"/>
    <w:rsid w:val="306E6110"/>
    <w:rsid w:val="31120CB9"/>
    <w:rsid w:val="31AD1B74"/>
    <w:rsid w:val="32414121"/>
    <w:rsid w:val="333E1EEE"/>
    <w:rsid w:val="346911EC"/>
    <w:rsid w:val="347C2E69"/>
    <w:rsid w:val="36254D15"/>
    <w:rsid w:val="372F3C3C"/>
    <w:rsid w:val="377A3F60"/>
    <w:rsid w:val="38C74B99"/>
    <w:rsid w:val="38E4205E"/>
    <w:rsid w:val="3AB82612"/>
    <w:rsid w:val="3ABD3D0C"/>
    <w:rsid w:val="3ACF78CF"/>
    <w:rsid w:val="3AE856DE"/>
    <w:rsid w:val="3B2F50B0"/>
    <w:rsid w:val="3B356198"/>
    <w:rsid w:val="3BB134AE"/>
    <w:rsid w:val="3CEA09F1"/>
    <w:rsid w:val="3D74650C"/>
    <w:rsid w:val="3DFB19EB"/>
    <w:rsid w:val="3F86131A"/>
    <w:rsid w:val="3F9F3D14"/>
    <w:rsid w:val="3FF335F9"/>
    <w:rsid w:val="40850046"/>
    <w:rsid w:val="40D1682F"/>
    <w:rsid w:val="411C5C67"/>
    <w:rsid w:val="41203E6B"/>
    <w:rsid w:val="4142704D"/>
    <w:rsid w:val="41E12F57"/>
    <w:rsid w:val="449418C0"/>
    <w:rsid w:val="44FF0305"/>
    <w:rsid w:val="45801800"/>
    <w:rsid w:val="458D25B3"/>
    <w:rsid w:val="45D41015"/>
    <w:rsid w:val="461F3BB2"/>
    <w:rsid w:val="468477C0"/>
    <w:rsid w:val="486024AF"/>
    <w:rsid w:val="48745461"/>
    <w:rsid w:val="48CC6E5B"/>
    <w:rsid w:val="49EE7DC3"/>
    <w:rsid w:val="4A6A5433"/>
    <w:rsid w:val="4B5005B9"/>
    <w:rsid w:val="4C4268AA"/>
    <w:rsid w:val="4D205D07"/>
    <w:rsid w:val="4D7520CB"/>
    <w:rsid w:val="4DB473B5"/>
    <w:rsid w:val="4DCA62DD"/>
    <w:rsid w:val="4E1D1933"/>
    <w:rsid w:val="4EF46EAF"/>
    <w:rsid w:val="4F563CC4"/>
    <w:rsid w:val="4FA55626"/>
    <w:rsid w:val="50485D02"/>
    <w:rsid w:val="50DF0840"/>
    <w:rsid w:val="514E559A"/>
    <w:rsid w:val="51673238"/>
    <w:rsid w:val="51B710D8"/>
    <w:rsid w:val="51D35A9F"/>
    <w:rsid w:val="5289743C"/>
    <w:rsid w:val="52B61649"/>
    <w:rsid w:val="533A6CC6"/>
    <w:rsid w:val="54CC5781"/>
    <w:rsid w:val="55065C4E"/>
    <w:rsid w:val="558570B1"/>
    <w:rsid w:val="56040230"/>
    <w:rsid w:val="572D5EB9"/>
    <w:rsid w:val="573A3ECB"/>
    <w:rsid w:val="587A53CD"/>
    <w:rsid w:val="593C3F2A"/>
    <w:rsid w:val="59B86222"/>
    <w:rsid w:val="5A950595"/>
    <w:rsid w:val="5B1A7176"/>
    <w:rsid w:val="5BE85E7A"/>
    <w:rsid w:val="5C1B6CD1"/>
    <w:rsid w:val="5C2632F7"/>
    <w:rsid w:val="5E146C58"/>
    <w:rsid w:val="5E6F6B50"/>
    <w:rsid w:val="5F577008"/>
    <w:rsid w:val="5FBB7D6F"/>
    <w:rsid w:val="6024237A"/>
    <w:rsid w:val="60956CE9"/>
    <w:rsid w:val="6098413C"/>
    <w:rsid w:val="61AD7F7B"/>
    <w:rsid w:val="62853BC4"/>
    <w:rsid w:val="662C5860"/>
    <w:rsid w:val="665F4175"/>
    <w:rsid w:val="66CA58C9"/>
    <w:rsid w:val="66F57D8A"/>
    <w:rsid w:val="688D4223"/>
    <w:rsid w:val="68983B76"/>
    <w:rsid w:val="692073C4"/>
    <w:rsid w:val="69C752EC"/>
    <w:rsid w:val="6A5645D1"/>
    <w:rsid w:val="6B255D6A"/>
    <w:rsid w:val="6C3F5DB4"/>
    <w:rsid w:val="6D330F59"/>
    <w:rsid w:val="6D434A7C"/>
    <w:rsid w:val="6D5E71F6"/>
    <w:rsid w:val="6E3D1D31"/>
    <w:rsid w:val="714B51FB"/>
    <w:rsid w:val="71EC3636"/>
    <w:rsid w:val="71F235C2"/>
    <w:rsid w:val="7298763E"/>
    <w:rsid w:val="733749E1"/>
    <w:rsid w:val="734078DC"/>
    <w:rsid w:val="73AE5822"/>
    <w:rsid w:val="755C23E6"/>
    <w:rsid w:val="771E3F3E"/>
    <w:rsid w:val="77435AB2"/>
    <w:rsid w:val="782E0297"/>
    <w:rsid w:val="79C9647A"/>
    <w:rsid w:val="79ED6E4F"/>
    <w:rsid w:val="7A8C2E05"/>
    <w:rsid w:val="7ADC45FF"/>
    <w:rsid w:val="7B06349B"/>
    <w:rsid w:val="7B0C57C6"/>
    <w:rsid w:val="7B2D4A97"/>
    <w:rsid w:val="7B5374DE"/>
    <w:rsid w:val="7BDD493C"/>
    <w:rsid w:val="7CCB1CD3"/>
    <w:rsid w:val="7D7243AD"/>
    <w:rsid w:val="7EF14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Plain Text"/>
    <w:basedOn w:val="1"/>
    <w:qFormat/>
    <w:uiPriority w:val="0"/>
    <w:rPr>
      <w:rFonts w:ascii="宋体" w:hAnsi="Courier New"/>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7</TotalTime>
  <ScaleCrop>false</ScaleCrop>
  <LinksUpToDate>false</LinksUpToDate>
  <CharactersWithSpaces>21168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2022-08-08T06:42:05Z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