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0689-2021-Q-2022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陇西县钧盛水泥制造有限责任公司</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lang w:val="en-US" w:eastAsia="zh-CN"/>
        </w:rPr>
        <w:t>第一次监督审核</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陇西县钧盛水泥制造有限责任公司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甘肃省定西市陇西县云田镇北站村渭阳路口(执法局建筑垃圾填埋场)</w:t>
            </w:r>
            <w:bookmarkEnd w:id="6"/>
          </w:p>
        </w:tc>
        <w:tc>
          <w:tcPr>
            <w:tcW w:w="1242" w:type="dxa"/>
            <w:vMerge w:val="restart"/>
            <w:vAlign w:val="center"/>
          </w:tcPr>
          <w:p>
            <w:r>
              <w:rPr>
                <w:rFonts w:hint="eastAsia"/>
              </w:rPr>
              <w:t>邮编</w:t>
            </w:r>
          </w:p>
        </w:tc>
        <w:tc>
          <w:tcPr>
            <w:tcW w:w="1771" w:type="dxa"/>
          </w:tcPr>
          <w:p>
            <w:bookmarkStart w:id="7" w:name="注册邮编"/>
            <w:r>
              <w:t>748100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甘肃省定西市陇西县云田镇北站村渭阳路口(执法局建筑垃圾填埋场)</w:t>
            </w:r>
            <w:bookmarkEnd w:id="8"/>
          </w:p>
        </w:tc>
        <w:tc>
          <w:tcPr>
            <w:tcW w:w="1242" w:type="dxa"/>
            <w:vMerge w:val="continue"/>
            <w:vAlign w:val="center"/>
          </w:tcPr>
          <w:p/>
        </w:tc>
        <w:tc>
          <w:tcPr>
            <w:tcW w:w="1771" w:type="dxa"/>
          </w:tcPr>
          <w:p>
            <w:bookmarkStart w:id="9" w:name="办公邮编"/>
            <w:r>
              <w:t>748100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bookmarkEnd w:id="10"/>
            <w:r>
              <w:t>毛欣</w:t>
            </w:r>
          </w:p>
        </w:tc>
        <w:tc>
          <w:tcPr>
            <w:tcW w:w="1313" w:type="dxa"/>
            <w:vAlign w:val="center"/>
          </w:tcPr>
          <w:p>
            <w:r>
              <w:rPr>
                <w:rFonts w:hint="eastAsia"/>
              </w:rPr>
              <w:t>电话.</w:t>
            </w:r>
          </w:p>
        </w:tc>
        <w:tc>
          <w:tcPr>
            <w:tcW w:w="2180" w:type="dxa"/>
            <w:vAlign w:val="center"/>
          </w:tcPr>
          <w:p>
            <w:bookmarkStart w:id="11" w:name="联系人电话"/>
            <w:bookmarkEnd w:id="11"/>
            <w:r>
              <w:rPr>
                <w:rFonts w:ascii="Times New Roman" w:hAnsi="Times New Roman" w:eastAsia="宋体" w:cs="Times New Roman"/>
              </w:rPr>
              <w:t>17793223635</w:t>
            </w:r>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陈海舟</w:t>
            </w:r>
            <w:bookmarkEnd w:id="13"/>
          </w:p>
        </w:tc>
        <w:tc>
          <w:tcPr>
            <w:tcW w:w="1313" w:type="dxa"/>
            <w:vAlign w:val="center"/>
          </w:tcPr>
          <w:p>
            <w:r>
              <w:rPr>
                <w:rFonts w:hint="eastAsia"/>
              </w:rPr>
              <w:t>管理者代表</w:t>
            </w:r>
          </w:p>
        </w:tc>
        <w:tc>
          <w:tcPr>
            <w:tcW w:w="2180" w:type="dxa"/>
          </w:tcPr>
          <w:p>
            <w:bookmarkStart w:id="14" w:name="管理者代表"/>
            <w:r>
              <w:t>毛欣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环形混凝土电杆生产流程：</w:t>
            </w:r>
            <w:r>
              <w:rPr>
                <w:rFonts w:hint="eastAsia" w:ascii="宋体" w:hAnsi="宋体"/>
                <w:szCs w:val="21"/>
              </w:rPr>
              <w:t>配料→搅拌→装筋→浇灌→离心成型→养护→脱模→成品检验</w:t>
            </w:r>
            <w:r>
              <w:rPr>
                <w:rFonts w:hint="eastAsia" w:ascii="宋体" w:hAnsi="宋体" w:cs="宋体"/>
                <w:color w:val="000000"/>
                <w:kern w:val="0"/>
                <w:szCs w:val="21"/>
              </w:rPr>
              <w:t>；</w:t>
            </w:r>
          </w:p>
          <w:p>
            <w:pPr>
              <w:adjustRightInd w:val="0"/>
              <w:snapToGrid w:val="0"/>
              <w:spacing w:line="360" w:lineRule="auto"/>
            </w:pPr>
            <w:r>
              <w:rPr>
                <w:szCs w:val="21"/>
              </w:rPr>
              <w:t>钢筋混凝土排水管</w:t>
            </w:r>
            <w:r>
              <w:rPr>
                <w:rFonts w:hint="eastAsia" w:ascii="宋体" w:hAnsi="宋体" w:cs="宋体"/>
                <w:color w:val="000000"/>
                <w:kern w:val="0"/>
                <w:szCs w:val="21"/>
              </w:rPr>
              <w:t>生产流程：</w:t>
            </w:r>
            <w:r>
              <w:rPr>
                <w:rFonts w:hint="eastAsia" w:ascii="宋体" w:hAnsi="宋体"/>
                <w:szCs w:val="21"/>
              </w:rPr>
              <w:t>配料→搅拌→装筋→浇灌→悬滚成型→养护→脱模→成品检验</w:t>
            </w:r>
            <w:r>
              <w:rPr>
                <w:rFonts w:hint="eastAsia" w:ascii="宋体" w:hAnsi="宋体" w:cs="宋体"/>
                <w:color w:val="000000"/>
                <w:kern w:val="0"/>
                <w:szCs w:val="21"/>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2022年08月19日 上午至2022年08月19日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r>
              <w:rPr>
                <w:rFonts w:hint="eastAsia"/>
                <w:color w:val="FF0000"/>
                <w:lang w:val="en-US" w:eastAsia="zh-CN"/>
              </w:rPr>
              <w:t>+恢复</w:t>
            </w:r>
            <w:r>
              <w:rPr>
                <w:rFonts w:hint="eastAsia"/>
              </w:rPr>
              <w:sym w:font="Wingdings 2" w:char="00A3"/>
            </w:r>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甘肃省定西市陇西县云田镇北站村渭阳路口(执法局建筑垃圾填埋场)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环形混凝土电杆、钢筋混凝土排水管的生产及销售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16.02.01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1</w:t>
            </w:r>
            <w:r>
              <w:rPr>
                <w:rFonts w:hint="eastAsia"/>
              </w:rPr>
              <w:t>月</w:t>
            </w:r>
            <w:r>
              <w:rPr>
                <w:rFonts w:hint="eastAsia"/>
                <w:lang w:val="en-US" w:eastAsia="zh-CN"/>
              </w:rPr>
              <w:t>3</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cs="宋体"/>
                <w:color w:val="000000"/>
                <w:kern w:val="0"/>
                <w:szCs w:val="21"/>
                <w:u w:val="none"/>
              </w:rPr>
              <w:t>2021年07月04日至05日</w:t>
            </w:r>
            <w:r>
              <w:rPr>
                <w:rFonts w:ascii="宋体" w:hAnsi="宋体" w:cs="宋体"/>
                <w:color w:val="000000"/>
                <w:kern w:val="0"/>
                <w:szCs w:val="21"/>
                <w:u w:val="single"/>
              </w:rPr>
              <w:t xml:space="preserve">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w:t>
            </w:r>
            <w:r>
              <w:rPr>
                <w:rFonts w:hint="eastAsia" w:ascii="宋体" w:hAnsi="宋体" w:eastAsia="宋体" w:cs="宋体"/>
              </w:rPr>
              <w:t>至</w:t>
            </w:r>
            <w:r>
              <w:rPr>
                <w:rFonts w:hint="eastAsia" w:ascii="宋体" w:hAnsi="宋体" w:eastAsia="宋体" w:cs="宋体"/>
                <w:lang w:val="en-US" w:eastAsia="zh-CN"/>
              </w:rPr>
              <w:t>2024</w:t>
            </w:r>
            <w:r>
              <w:rPr>
                <w:rFonts w:hint="eastAsia" w:ascii="宋体" w:hAnsi="宋体" w:eastAsia="宋体" w:cs="宋体"/>
              </w:rPr>
              <w:t>年</w:t>
            </w:r>
            <w:r>
              <w:rPr>
                <w:rFonts w:hint="eastAsia" w:ascii="宋体" w:hAnsi="宋体" w:eastAsia="宋体" w:cs="宋体"/>
                <w:lang w:val="en-US" w:eastAsia="zh-CN"/>
              </w:rPr>
              <w:t>7</w:t>
            </w:r>
            <w:r>
              <w:rPr>
                <w:rFonts w:hint="eastAsia" w:ascii="宋体" w:hAnsi="宋体" w:eastAsia="宋体" w:cs="宋体"/>
              </w:rPr>
              <w:t>月</w:t>
            </w:r>
            <w:r>
              <w:rPr>
                <w:rFonts w:hint="eastAsia" w:ascii="宋体" w:hAnsi="宋体" w:eastAsia="宋体" w:cs="宋体"/>
                <w:lang w:val="en-US" w:eastAsia="zh-CN"/>
              </w:rPr>
              <w:t>21</w:t>
            </w:r>
            <w:r>
              <w:rPr>
                <w:rFonts w:hint="eastAsia" w:ascii="宋体" w:hAnsi="宋体" w:eastAsia="宋体" w:cs="宋体"/>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35"/>
        <w:gridCol w:w="183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35" w:type="dxa"/>
            <w:shd w:val="clear" w:color="auto" w:fill="F3F3F3"/>
            <w:tcMar>
              <w:left w:w="57" w:type="dxa"/>
              <w:right w:w="57" w:type="dxa"/>
            </w:tcMar>
          </w:tcPr>
          <w:p>
            <w:r>
              <w:rPr>
                <w:rFonts w:hint="eastAsia"/>
              </w:rPr>
              <w:t>审核范围（产品和过程）</w:t>
            </w:r>
          </w:p>
          <w:p/>
          <w:p/>
        </w:tc>
        <w:tc>
          <w:tcPr>
            <w:tcW w:w="183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陇西县钧盛水泥制造有限责任公司</w:t>
            </w:r>
          </w:p>
          <w:p>
            <w:pPr>
              <w:pStyle w:val="2"/>
              <w:rPr>
                <w:lang w:val="de-DE" w:eastAsia="ja-JP"/>
              </w:rPr>
            </w:pPr>
            <w:r>
              <w:t>甘肃省定西市陇西县云田镇北站村渭阳路口(执法局建筑垃圾填埋场)</w:t>
            </w:r>
          </w:p>
        </w:tc>
        <w:tc>
          <w:tcPr>
            <w:tcW w:w="2267" w:type="dxa"/>
          </w:tcPr>
          <w:p>
            <w:pPr>
              <w:rPr>
                <w:lang w:val="de-DE" w:eastAsia="ja-JP"/>
              </w:rPr>
            </w:pPr>
            <w:r>
              <w:t>甘肃省定西市陇西县云田镇北站村渭阳路口(执法局建筑垃圾填埋场)</w:t>
            </w:r>
          </w:p>
        </w:tc>
        <w:tc>
          <w:tcPr>
            <w:tcW w:w="571" w:type="dxa"/>
            <w:vAlign w:val="center"/>
          </w:tcPr>
          <w:p>
            <w:pPr>
              <w:rPr>
                <w:rFonts w:hint="default" w:eastAsia="宋体"/>
                <w:lang w:val="en-US" w:eastAsia="zh-CN"/>
              </w:rPr>
            </w:pPr>
            <w:r>
              <w:rPr>
                <w:rFonts w:hint="eastAsia"/>
                <w:lang w:val="en-US" w:eastAsia="zh-CN"/>
              </w:rPr>
              <w:t>45</w:t>
            </w:r>
          </w:p>
        </w:tc>
        <w:tc>
          <w:tcPr>
            <w:tcW w:w="1635" w:type="dxa"/>
            <w:vAlign w:val="center"/>
          </w:tcPr>
          <w:p>
            <w:pPr>
              <w:rPr>
                <w:rFonts w:ascii="Times New Roman" w:hAnsi="Times New Roman" w:eastAsia="宋体" w:cs="Times New Roman"/>
                <w:lang w:eastAsia="ja-JP"/>
              </w:rPr>
            </w:pPr>
            <w:r>
              <w:rPr>
                <w:rFonts w:ascii="Times New Roman" w:hAnsi="Times New Roman" w:eastAsia="宋体" w:cs="Times New Roman"/>
              </w:rPr>
              <w:t>环形混凝土电杆、钢筋混凝土排水管的生产及销售</w:t>
            </w:r>
          </w:p>
        </w:tc>
        <w:tc>
          <w:tcPr>
            <w:tcW w:w="1837" w:type="dxa"/>
            <w:vAlign w:val="center"/>
          </w:tcPr>
          <w:p>
            <w:pPr>
              <w:rPr>
                <w:rFonts w:hint="eastAsia" w:ascii="Times New Roman" w:hAnsi="Times New Roman" w:eastAsia="宋体" w:cs="Times New Roman"/>
              </w:rPr>
            </w:pPr>
            <w:r>
              <w:rPr>
                <w:rFonts w:hint="eastAsia" w:ascii="Times New Roman" w:hAnsi="Times New Roman" w:eastAsia="宋体" w:cs="Times New Roman"/>
              </w:rPr>
              <w:t>环形混凝土电杆</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GB4623-2014</w:t>
            </w:r>
          </w:p>
          <w:p>
            <w:pPr>
              <w:rPr>
                <w:rFonts w:hint="eastAsia" w:ascii="Times New Roman" w:hAnsi="Times New Roman" w:eastAsia="宋体" w:cs="Times New Roman"/>
              </w:rPr>
            </w:pPr>
            <w:r>
              <w:rPr>
                <w:rFonts w:hint="eastAsia" w:ascii="Times New Roman" w:hAnsi="Times New Roman" w:eastAsia="宋体" w:cs="Times New Roman"/>
              </w:rPr>
              <w:t>混凝土和钢筋混凝土排水管</w:t>
            </w:r>
            <w:r>
              <w:rPr>
                <w:rFonts w:hint="eastAsia" w:ascii="Times New Roman" w:hAnsi="Times New Roman" w:eastAsia="宋体" w:cs="Times New Roman"/>
              </w:rPr>
              <w:tab/>
            </w:r>
          </w:p>
          <w:p>
            <w:pPr>
              <w:rPr>
                <w:rFonts w:ascii="Times New Roman" w:hAnsi="Times New Roman" w:eastAsia="宋体" w:cs="Times New Roman"/>
                <w:lang w:eastAsia="ja-JP"/>
              </w:rPr>
            </w:pPr>
            <w:r>
              <w:rPr>
                <w:rFonts w:hint="eastAsia" w:ascii="Times New Roman" w:hAnsi="Times New Roman" w:eastAsia="宋体" w:cs="Times New Roman"/>
              </w:rPr>
              <w:t xml:space="preserve">GB/T11836-2009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35" w:type="dxa"/>
            <w:vAlign w:val="center"/>
          </w:tcPr>
          <w:p>
            <w:pPr>
              <w:rPr>
                <w:lang w:eastAsia="ja-JP"/>
              </w:rPr>
            </w:pPr>
          </w:p>
        </w:tc>
        <w:tc>
          <w:tcPr>
            <w:tcW w:w="1837"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default" w:eastAsia="宋体"/>
                <w:lang w:val="en-US" w:eastAsia="zh-CN"/>
              </w:rPr>
            </w:pPr>
            <w:r>
              <w:rPr>
                <w:rFonts w:hint="eastAsia"/>
                <w:lang w:val="en-US" w:eastAsia="zh-CN"/>
              </w:rPr>
              <w:t>组织名称变更为：</w:t>
            </w:r>
            <w:r>
              <w:t>陇西县钧盛水泥制造有限责任公司</w:t>
            </w:r>
          </w:p>
        </w:tc>
      </w:tr>
    </w:tbl>
    <w:p>
      <w:r>
        <w:rPr>
          <w:rFonts w:hint="eastAsia"/>
        </w:rPr>
        <w:t>在本次审核过程中，评审了现有管理体系和管理体系文件中这些变化的实施情况。</w:t>
      </w:r>
    </w:p>
    <w:p/>
    <w:p>
      <w:pPr>
        <w:pStyle w:val="2"/>
      </w:pPr>
    </w:p>
    <w:p>
      <w:pPr>
        <w:pStyle w:val="2"/>
      </w:pPr>
    </w:p>
    <w:p>
      <w:pPr>
        <w:pStyle w:val="2"/>
      </w:pPr>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rPr>
                <w:rFonts w:hint="default" w:eastAsia="宋体"/>
                <w:lang w:val="en-US" w:eastAsia="zh-CN"/>
              </w:rPr>
            </w:pPr>
            <w:r>
              <w:rPr>
                <w:rFonts w:hint="eastAsia"/>
              </w:rPr>
              <w:t>审核组意见</w:t>
            </w:r>
            <w:r>
              <w:rPr>
                <w:rFonts w:hint="eastAsia"/>
                <w:lang w:eastAsia="zh-CN"/>
              </w:rPr>
              <w:t>：</w:t>
            </w:r>
            <w:r>
              <w:rPr>
                <w:rFonts w:hint="eastAsia" w:ascii="宋体" w:hAnsi="宋体"/>
                <w:b/>
                <w:szCs w:val="21"/>
              </w:rPr>
              <w:t>推荐保持</w:t>
            </w:r>
            <w:r>
              <w:rPr>
                <w:rFonts w:hint="eastAsia" w:ascii="宋体" w:hAnsi="宋体"/>
                <w:b/>
                <w:szCs w:val="21"/>
                <w:lang w:val="en-US" w:eastAsia="zh-CN"/>
              </w:rPr>
              <w:t>并恢复证书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b/>
                <w:color w:val="000000" w:themeColor="text1"/>
                <w:sz w:val="26"/>
                <w:szCs w:val="26"/>
              </w:rPr>
              <w:drawing>
                <wp:anchor distT="0" distB="0" distL="114300" distR="114300" simplePos="0" relativeHeight="251662336" behindDoc="1" locked="0" layoutInCell="1" allowOverlap="1">
                  <wp:simplePos x="0" y="0"/>
                  <wp:positionH relativeFrom="column">
                    <wp:posOffset>602615</wp:posOffset>
                  </wp:positionH>
                  <wp:positionV relativeFrom="paragraph">
                    <wp:posOffset>-3175</wp:posOffset>
                  </wp:positionV>
                  <wp:extent cx="700405" cy="403860"/>
                  <wp:effectExtent l="0" t="0" r="635" b="7620"/>
                  <wp:wrapNone/>
                  <wp:docPr id="6" name="图片 6"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fdd8fbb2bd137f321bf27109001bf"/>
                          <pic:cNvPicPr>
                            <a:picLocks noChangeAspect="1"/>
                          </pic:cNvPicPr>
                        </pic:nvPicPr>
                        <pic:blipFill>
                          <a:blip r:embed="rId6" cstate="print"/>
                          <a:stretch>
                            <a:fillRect/>
                          </a:stretch>
                        </pic:blipFill>
                        <pic:spPr>
                          <a:xfrm>
                            <a:off x="0" y="0"/>
                            <a:ext cx="700405" cy="403860"/>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2022.8.19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宋体" w:hAnsi="宋体" w:eastAsia="宋体" w:cs="Times New Roman"/>
                <w:bCs/>
                <w:szCs w:val="21"/>
              </w:rPr>
              <w:t>质量为先，信誉为重，管理为本，服务为诚</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rPr>
            </w:pPr>
            <w:r>
              <w:rPr>
                <w:rFonts w:hint="eastAsia"/>
              </w:rPr>
              <w:t>QMS的主管部门是——综合</w:t>
            </w:r>
            <w:r>
              <w:rPr>
                <w:rFonts w:hint="eastAsia"/>
                <w:lang w:val="en-US" w:eastAsia="zh-CN"/>
              </w:rPr>
              <w:t>办公室</w:t>
            </w:r>
          </w:p>
          <w:p>
            <w:pPr>
              <w:shd w:val="clear" w:color="auto" w:fill="C7DAF1" w:themeFill="text2" w:themeFillTint="3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436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436" w:type="dxa"/>
                </w:tcPr>
                <w:p>
                  <w:pPr>
                    <w:shd w:val="clear" w:color="auto" w:fill="C7DAF1" w:themeFill="text2" w:themeFillTint="32"/>
                  </w:pPr>
                  <w:r>
                    <w:rPr>
                      <w:rFonts w:hint="eastAsia"/>
                    </w:rPr>
                    <w:t>主要的风险或机遇描述</w:t>
                  </w:r>
                </w:p>
              </w:tc>
              <w:tc>
                <w:tcPr>
                  <w:tcW w:w="436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订单评审过程</w:t>
                  </w:r>
                </w:p>
              </w:tc>
              <w:tc>
                <w:tcPr>
                  <w:tcW w:w="4369" w:type="dxa"/>
                </w:tcPr>
                <w:p>
                  <w:pPr>
                    <w:shd w:val="clear" w:color="auto" w:fill="C7DAF1" w:themeFill="text2" w:themeFillTint="32"/>
                  </w:pPr>
                  <w:r>
                    <w:rPr>
                      <w:rFonts w:hint="eastAsia" w:ascii="宋体" w:hAnsi="宋体" w:cs="宋体"/>
                      <w:color w:val="000000"/>
                      <w:kern w:val="0"/>
                      <w:sz w:val="20"/>
                      <w:szCs w:val="20"/>
                    </w:rPr>
                    <w:t>1、对客户的要求销售部组织相关部门进行识别；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生产过程</w:t>
                  </w:r>
                </w:p>
              </w:tc>
              <w:tc>
                <w:tcPr>
                  <w:tcW w:w="4369" w:type="dxa"/>
                </w:tcPr>
                <w:p>
                  <w:pPr>
                    <w:shd w:val="clear" w:color="auto" w:fill="C7DAF1" w:themeFill="text2" w:themeFillTint="32"/>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交付和顾客反馈过程</w:t>
                  </w:r>
                </w:p>
              </w:tc>
              <w:tc>
                <w:tcPr>
                  <w:tcW w:w="4369" w:type="dxa"/>
                </w:tcPr>
                <w:p>
                  <w:pPr>
                    <w:shd w:val="clear" w:color="auto" w:fill="C7DAF1" w:themeFill="text2" w:themeFillTint="32"/>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综合办公室</w:t>
                  </w:r>
                  <w:r>
                    <w:rPr>
                      <w:rFonts w:hint="eastAsia" w:ascii="宋体" w:hAnsi="宋体" w:eastAsia="宋体" w:cs="宋体"/>
                      <w:color w:val="000000"/>
                      <w:kern w:val="0"/>
                      <w:sz w:val="20"/>
                      <w:szCs w:val="20"/>
                    </w:rPr>
                    <w:t>专人负</w:t>
                  </w:r>
                  <w:r>
                    <w:rPr>
                      <w:rFonts w:hint="eastAsia" w:ascii="宋体" w:hAnsi="宋体" w:cs="宋体"/>
                      <w:color w:val="000000"/>
                      <w:kern w:val="0"/>
                      <w:sz w:val="20"/>
                      <w:szCs w:val="20"/>
                    </w:rPr>
                    <w:t>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管理评审过程</w:t>
                  </w:r>
                </w:p>
              </w:tc>
              <w:tc>
                <w:tcPr>
                  <w:tcW w:w="4369" w:type="dxa"/>
                </w:tcPr>
                <w:p>
                  <w:pPr>
                    <w:shd w:val="clear" w:color="auto" w:fill="C7DAF1" w:themeFill="text2" w:themeFillTint="32"/>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采购过程</w:t>
                  </w:r>
                </w:p>
              </w:tc>
              <w:tc>
                <w:tcPr>
                  <w:tcW w:w="4369" w:type="dxa"/>
                </w:tcPr>
                <w:p>
                  <w:pPr>
                    <w:shd w:val="clear" w:color="auto" w:fill="C7DAF1" w:themeFill="text2" w:themeFillTint="32"/>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检验过程</w:t>
                  </w:r>
                </w:p>
              </w:tc>
              <w:tc>
                <w:tcPr>
                  <w:tcW w:w="4369" w:type="dxa"/>
                </w:tcPr>
                <w:p>
                  <w:pPr>
                    <w:shd w:val="clear" w:color="auto" w:fill="C7DAF1" w:themeFill="text2" w:themeFillTint="32"/>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pPr>
                  <w:r>
                    <w:rPr>
                      <w:rFonts w:hint="eastAsia" w:ascii="宋体" w:hAnsi="宋体" w:cs="宋体"/>
                      <w:color w:val="000000"/>
                      <w:kern w:val="0"/>
                      <w:sz w:val="20"/>
                      <w:szCs w:val="20"/>
                    </w:rPr>
                    <w:t>设备管理过程</w:t>
                  </w:r>
                </w:p>
              </w:tc>
              <w:tc>
                <w:tcPr>
                  <w:tcW w:w="4369" w:type="dxa"/>
                </w:tcPr>
                <w:p>
                  <w:pPr>
                    <w:shd w:val="clear" w:color="auto" w:fill="C7DAF1" w:themeFill="text2" w:themeFillTint="32"/>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市场需求增大带来机遇</w:t>
                  </w:r>
                </w:p>
              </w:tc>
              <w:tc>
                <w:tcPr>
                  <w:tcW w:w="4369" w:type="dxa"/>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保证生产能力、提高业务人员水平</w:t>
                  </w:r>
                </w:p>
              </w:tc>
              <w:tc>
                <w:tcPr>
                  <w:tcW w:w="1717" w:type="dxa"/>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有效</w:t>
                  </w:r>
                </w:p>
              </w:tc>
            </w:tr>
          </w:tbl>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成品一次交检合格率≥95%</w:t>
                  </w:r>
                </w:p>
              </w:tc>
              <w:tc>
                <w:tcPr>
                  <w:tcW w:w="3136"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lang w:val="en-GB"/>
                    </w:rPr>
                  </w:pPr>
                  <w:r>
                    <w:rPr>
                      <w:rFonts w:hint="eastAsia" w:ascii="宋体" w:hAnsi="宋体" w:eastAsia="宋体" w:cs="宋体"/>
                      <w:color w:val="000000"/>
                      <w:kern w:val="0"/>
                      <w:sz w:val="20"/>
                      <w:szCs w:val="20"/>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生产技术部</w:t>
                  </w:r>
                </w:p>
              </w:tc>
              <w:tc>
                <w:tcPr>
                  <w:tcW w:w="1774" w:type="dxa"/>
                  <w:shd w:val="clear" w:color="auto" w:fill="auto"/>
                  <w:vAlign w:val="center"/>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产品</w:t>
                  </w:r>
                  <w:r>
                    <w:rPr>
                      <w:rFonts w:hint="eastAsia" w:ascii="宋体" w:hAnsi="宋体" w:eastAsia="宋体" w:cs="宋体"/>
                      <w:color w:val="000000"/>
                      <w:kern w:val="0"/>
                      <w:sz w:val="20"/>
                      <w:szCs w:val="20"/>
                    </w:rPr>
                    <w:t>准时交货率</w:t>
                  </w:r>
                </w:p>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3136"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准时交货率=（准时交货批数/交货总批数）×100%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经营部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顾客投诉次数≤5次/年</w:t>
                  </w:r>
                </w:p>
              </w:tc>
              <w:tc>
                <w:tcPr>
                  <w:tcW w:w="3136" w:type="dxa"/>
                  <w:shd w:val="clear" w:color="auto" w:fill="auto"/>
                  <w:vAlign w:val="center"/>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综合办公室统计</w:t>
                  </w:r>
                </w:p>
              </w:tc>
              <w:tc>
                <w:tcPr>
                  <w:tcW w:w="1350" w:type="dxa"/>
                  <w:shd w:val="clear" w:color="auto" w:fill="auto"/>
                  <w:vAlign w:val="center"/>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综合办公室</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顾客满意度≥</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5%</w:t>
                  </w:r>
                </w:p>
              </w:tc>
              <w:tc>
                <w:tcPr>
                  <w:tcW w:w="3136"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经营部</w:t>
                  </w:r>
                  <w:r>
                    <w:rPr>
                      <w:rFonts w:hint="eastAsia" w:ascii="宋体" w:hAnsi="宋体" w:eastAsia="宋体" w:cs="宋体"/>
                      <w:color w:val="000000"/>
                      <w:kern w:val="0"/>
                      <w:sz w:val="20"/>
                      <w:szCs w:val="20"/>
                    </w:rPr>
                    <w:t>统计分析报告</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经营部</w:t>
                  </w:r>
                </w:p>
              </w:tc>
              <w:tc>
                <w:tcPr>
                  <w:tcW w:w="1774" w:type="dxa"/>
                  <w:shd w:val="clear" w:color="auto" w:fill="auto"/>
                  <w:vAlign w:val="center"/>
                </w:tcPr>
                <w:p>
                  <w:pPr>
                    <w:shd w:val="clear" w:color="auto" w:fill="C7DAF1" w:themeFill="text2" w:themeFillTint="32"/>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color w:val="000000"/>
                      <w:kern w:val="0"/>
                      <w:sz w:val="20"/>
                      <w:szCs w:val="20"/>
                    </w:rPr>
                  </w:pPr>
                </w:p>
              </w:tc>
              <w:tc>
                <w:tcPr>
                  <w:tcW w:w="3136"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rPr>
                  </w:pPr>
                </w:p>
              </w:tc>
              <w:tc>
                <w:tcPr>
                  <w:tcW w:w="1350"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rPr>
                  </w:pPr>
                </w:p>
              </w:tc>
              <w:tc>
                <w:tcPr>
                  <w:tcW w:w="1774" w:type="dxa"/>
                  <w:shd w:val="clear" w:color="auto" w:fill="auto"/>
                  <w:vAlign w:val="center"/>
                </w:tcPr>
                <w:p>
                  <w:pPr>
                    <w:shd w:val="clear" w:color="auto" w:fill="C7DAF1" w:themeFill="text2" w:themeFillTint="32"/>
                    <w:rPr>
                      <w:rFonts w:hint="eastAsia" w:ascii="宋体" w:hAnsi="宋体" w:eastAsia="宋体" w:cs="宋体"/>
                      <w:color w:val="000000"/>
                      <w:kern w:val="0"/>
                      <w:sz w:val="20"/>
                      <w:szCs w:val="20"/>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宋体" w:hAnsi="宋体" w:eastAsia="宋体" w:cs="宋体"/>
                <w:sz w:val="24"/>
                <w:szCs w:val="24"/>
              </w:rPr>
              <w:t>20000平方米</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szCs w:val="21"/>
              </w:rPr>
              <w:t>离心机、自动搅拌机、电焊机、滚焊机、钢筋</w:t>
            </w:r>
            <w:r>
              <w:rPr>
                <w:rFonts w:hint="eastAsia" w:ascii="宋体" w:hAnsi="宋体"/>
                <w:szCs w:val="21"/>
                <w:lang w:val="en-US" w:eastAsia="zh-CN"/>
              </w:rPr>
              <w:t>切割机</w:t>
            </w:r>
            <w:r>
              <w:rPr>
                <w:rFonts w:hint="eastAsia" w:ascii="宋体" w:hAnsi="宋体"/>
                <w:szCs w:val="21"/>
              </w:rPr>
              <w:t>、打圈机</w:t>
            </w:r>
          </w:p>
          <w:p>
            <w:pPr>
              <w:shd w:val="clear" w:color="auto" w:fill="C7DAF1" w:themeFill="text2" w:themeFillTint="32"/>
            </w:pPr>
            <w:r>
              <w:rPr>
                <w:rFonts w:hint="eastAsia"/>
              </w:rPr>
              <w:t>特种设备：</w:t>
            </w:r>
            <w:r>
              <w:rPr>
                <w:rFonts w:hint="eastAsia" w:ascii="Wingdings" w:hAnsi="Wingdings"/>
              </w:rPr>
              <w:t>¨</w:t>
            </w:r>
            <w:r>
              <w:rPr>
                <w:rFonts w:hint="eastAsia"/>
              </w:rPr>
              <w:t>叉车■行车■锅炉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48"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自校■外校</w:t>
            </w:r>
          </w:p>
          <w:p>
            <w:pPr>
              <w:shd w:val="clear" w:color="auto" w:fill="C7DAF1" w:themeFill="text2" w:themeFillTint="32"/>
              <w:rPr>
                <w:u w:val="single"/>
              </w:rPr>
            </w:pPr>
            <w:r>
              <w:rPr>
                <w:rFonts w:hint="eastAsia"/>
              </w:rPr>
              <w:t>国家强检的计量器具有：</w:t>
            </w:r>
            <w:r>
              <w:rPr>
                <w:rFonts w:hint="eastAsia" w:ascii="宋体" w:hAnsi="宋体"/>
                <w:szCs w:val="21"/>
                <w:highlight w:val="none"/>
              </w:rPr>
              <w:t>电子台秤、电热鼓风干燥箱、沸煮箱</w:t>
            </w:r>
          </w:p>
          <w:p>
            <w:pPr>
              <w:shd w:val="clear" w:color="auto" w:fill="C7DAF1" w:themeFill="text2" w:themeFillTint="32"/>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w:t>
            </w:r>
            <w:bookmarkStart w:id="33" w:name="_GoBack"/>
            <w:bookmarkEnd w:id="33"/>
            <w:r>
              <w:rPr>
                <w:rFonts w:hint="eastAsia"/>
              </w:rPr>
              <w:t>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■行车工 ■锅炉工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■工艺流程图 ■作业文件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344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hd w:val="clear" w:color="auto" w:fill="C7DAF1" w:themeFill="text2" w:themeFillTint="32"/>
                    <w:jc w:val="left"/>
                  </w:pPr>
                  <w:r>
                    <w:rPr>
                      <w:rFonts w:hint="eastAsia"/>
                    </w:rPr>
                    <w:t>产品/服务名称</w:t>
                  </w:r>
                </w:p>
              </w:tc>
              <w:tc>
                <w:tcPr>
                  <w:tcW w:w="344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环形混凝土电杆</w:t>
                  </w:r>
                </w:p>
              </w:tc>
              <w:tc>
                <w:tcPr>
                  <w:tcW w:w="344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配料、离心成型过程</w:t>
                  </w:r>
                </w:p>
              </w:tc>
              <w:tc>
                <w:tcPr>
                  <w:tcW w:w="32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hd w:val="clear" w:color="auto" w:fill="C7DAF1" w:themeFill="text2" w:themeFillTint="32"/>
                    <w:jc w:val="left"/>
                  </w:pPr>
                  <w:r>
                    <w:rPr>
                      <w:rFonts w:hint="eastAsia" w:asciiTheme="majorEastAsia" w:hAnsiTheme="majorEastAsia" w:eastAsiaTheme="majorEastAsia"/>
                      <w:color w:val="000000"/>
                      <w:spacing w:val="-10"/>
                      <w:sz w:val="20"/>
                      <w:szCs w:val="20"/>
                    </w:rPr>
                    <w:t>钢筋混凝土排水管</w:t>
                  </w:r>
                </w:p>
              </w:tc>
              <w:tc>
                <w:tcPr>
                  <w:tcW w:w="3445" w:type="dxa"/>
                </w:tcPr>
                <w:p>
                  <w:pPr>
                    <w:shd w:val="clear" w:color="auto" w:fill="C7DAF1" w:themeFill="text2" w:themeFillTint="32"/>
                    <w:jc w:val="left"/>
                  </w:pPr>
                  <w:r>
                    <w:rPr>
                      <w:rFonts w:hint="eastAsia"/>
                    </w:rPr>
                    <w:t>配料、</w:t>
                  </w:r>
                  <w:r>
                    <w:rPr>
                      <w:rFonts w:hint="eastAsia" w:ascii="宋体" w:hAnsi="宋体"/>
                      <w:szCs w:val="21"/>
                    </w:rPr>
                    <w:t>悬滚成型</w:t>
                  </w:r>
                  <w:r>
                    <w:rPr>
                      <w:rFonts w:hint="eastAsia"/>
                    </w:rPr>
                    <w:t>过程</w:t>
                  </w:r>
                </w:p>
              </w:tc>
              <w:tc>
                <w:tcPr>
                  <w:tcW w:w="3265" w:type="dxa"/>
                </w:tcPr>
                <w:p>
                  <w:pPr>
                    <w:shd w:val="clear" w:color="auto" w:fill="C7DAF1" w:themeFill="text2" w:themeFillTint="32"/>
                    <w:jc w:val="left"/>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hd w:val="clear" w:color="auto" w:fill="C7DAF1" w:themeFill="text2" w:themeFillTint="32"/>
                    <w:jc w:val="left"/>
                  </w:pPr>
                </w:p>
              </w:tc>
              <w:tc>
                <w:tcPr>
                  <w:tcW w:w="344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u w:val="single"/>
              </w:rPr>
              <w:t>焊接过程</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ascii="Times New Roman" w:hAnsi="Times New Roman" w:eastAsia="宋体" w:cs="Times New Roman"/>
              </w:rPr>
              <w:t>组织已</w:t>
            </w:r>
            <w:r>
              <w:rPr>
                <w:rFonts w:hint="eastAsia" w:ascii="Times New Roman" w:hAnsi="Times New Roman" w:eastAsia="宋体" w:cs="Times New Roman"/>
              </w:rPr>
              <w:fldChar w:fldCharType="begin"/>
            </w:r>
            <w:r>
              <w:rPr>
                <w:rFonts w:hint="eastAsia" w:ascii="Times New Roman" w:hAnsi="Times New Roman" w:eastAsia="宋体" w:cs="Times New Roman"/>
              </w:rPr>
              <w:fldChar w:fldCharType="end"/>
            </w:r>
            <w:r>
              <w:rPr>
                <w:rFonts w:hint="eastAsia" w:ascii="Times New Roman" w:hAnsi="Times New Roman" w:eastAsia="宋体" w:cs="Times New Roman"/>
              </w:rPr>
              <w:t>通过年度策划于2022年3月14日至15日实施了质量管理体系内部审核，对质量管理体系的符合性和有效性进行了审核。内审发现的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项不符合在本次审核前已完成整改。</w:t>
            </w:r>
            <w:r>
              <w:rPr>
                <w:rFonts w:hint="eastAsia"/>
              </w:rPr>
              <w:t>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w:t>
            </w:r>
            <w:r>
              <w:rPr>
                <w:rFonts w:hint="eastAsia" w:ascii="Times New Roman" w:hAnsi="Times New Roman" w:eastAsia="宋体" w:cs="Times New Roman"/>
              </w:rPr>
              <w:t>策划的时间间隔，在2022年3月28日对组织的质量</w:t>
            </w:r>
            <w:r>
              <w:rPr>
                <w:rFonts w:hint="eastAsia"/>
              </w:rPr>
              <w:t>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4</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red"/>
                <w:lang w:eastAsia="ja-JP"/>
              </w:rPr>
            </w:pPr>
          </w:p>
        </w:tc>
        <w:tc>
          <w:tcPr>
            <w:tcW w:w="650" w:type="dxa"/>
            <w:vAlign w:val="center"/>
          </w:tcPr>
          <w:p>
            <w:pPr>
              <w:shd w:val="clear" w:color="auto" w:fill="C7DAF1" w:themeFill="text2" w:themeFillTint="32"/>
              <w:rPr>
                <w:highlight w:val="red"/>
                <w:lang w:eastAsia="ja-JP"/>
              </w:rPr>
            </w:pPr>
          </w:p>
        </w:tc>
        <w:tc>
          <w:tcPr>
            <w:tcW w:w="650" w:type="dxa"/>
            <w:vAlign w:val="center"/>
          </w:tcPr>
          <w:p>
            <w:pPr>
              <w:shd w:val="clear" w:color="auto" w:fill="C7DAF1" w:themeFill="text2" w:themeFillTint="32"/>
              <w:rPr>
                <w:highlight w:val="red"/>
                <w:lang w:eastAsia="ja-JP"/>
              </w:rPr>
            </w:pPr>
          </w:p>
        </w:tc>
        <w:tc>
          <w:tcPr>
            <w:tcW w:w="649" w:type="dxa"/>
            <w:vAlign w:val="center"/>
          </w:tcPr>
          <w:p>
            <w:pPr>
              <w:shd w:val="clear" w:color="auto" w:fill="C7DAF1" w:themeFill="text2" w:themeFillTint="32"/>
              <w:rPr>
                <w:highlight w:val="red"/>
                <w:lang w:eastAsia="ja-JP"/>
              </w:rPr>
            </w:pPr>
          </w:p>
        </w:tc>
        <w:tc>
          <w:tcPr>
            <w:tcW w:w="650" w:type="dxa"/>
            <w:vAlign w:val="center"/>
          </w:tcPr>
          <w:p>
            <w:pPr>
              <w:shd w:val="clear" w:color="auto" w:fill="C7DAF1" w:themeFill="text2" w:themeFillTint="32"/>
              <w:rPr>
                <w:highlight w:val="red"/>
                <w:lang w:eastAsia="ja-JP"/>
              </w:rPr>
            </w:pPr>
          </w:p>
        </w:tc>
        <w:tc>
          <w:tcPr>
            <w:tcW w:w="650" w:type="dxa"/>
            <w:vAlign w:val="center"/>
          </w:tcPr>
          <w:p>
            <w:pPr>
              <w:shd w:val="clear" w:color="auto" w:fill="C7DAF1" w:themeFill="text2" w:themeFillTint="32"/>
              <w:rPr>
                <w:highlight w:val="red"/>
                <w:lang w:eastAsia="ja-JP"/>
              </w:rPr>
            </w:pPr>
          </w:p>
        </w:tc>
        <w:tc>
          <w:tcPr>
            <w:tcW w:w="649" w:type="dxa"/>
            <w:shd w:val="pct25" w:color="auto" w:fill="auto"/>
            <w:vAlign w:val="center"/>
          </w:tcPr>
          <w:p>
            <w:pPr>
              <w:shd w:val="clear" w:color="auto" w:fill="C7DAF1" w:themeFill="text2" w:themeFillTint="32"/>
              <w:rPr>
                <w:highlight w:val="red"/>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zNjhjZjkxMjg2OGJjOTQ0NThhNzBhOGI4YTVmYWYifQ=="/>
  </w:docVars>
  <w:rsids>
    <w:rsidRoot w:val="00000000"/>
    <w:rsid w:val="00F523FB"/>
    <w:rsid w:val="037B0103"/>
    <w:rsid w:val="0E3270CE"/>
    <w:rsid w:val="0FCA42ED"/>
    <w:rsid w:val="17F43647"/>
    <w:rsid w:val="1EEA4952"/>
    <w:rsid w:val="269357C9"/>
    <w:rsid w:val="2D8C35C2"/>
    <w:rsid w:val="2E7B108D"/>
    <w:rsid w:val="383868F3"/>
    <w:rsid w:val="42F40E62"/>
    <w:rsid w:val="53B349E2"/>
    <w:rsid w:val="57C76782"/>
    <w:rsid w:val="5A9A12D8"/>
    <w:rsid w:val="5DEA03F9"/>
    <w:rsid w:val="5E5F1000"/>
    <w:rsid w:val="61C32376"/>
    <w:rsid w:val="63F83D52"/>
    <w:rsid w:val="742348D0"/>
    <w:rsid w:val="74816655"/>
    <w:rsid w:val="7A4D3ECC"/>
    <w:rsid w:val="7FB95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18616</Words>
  <Characters>19274</Characters>
  <Lines>150</Lines>
  <Paragraphs>42</Paragraphs>
  <TotalTime>0</TotalTime>
  <ScaleCrop>false</ScaleCrop>
  <LinksUpToDate>false</LinksUpToDate>
  <CharactersWithSpaces>19395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2022-08-24T15:17:24Z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